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E4908">
      <w:pPr>
        <w:pStyle w:val="81"/>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S5-2</w:t>
      </w:r>
      <w:r>
        <w:rPr>
          <w:b/>
          <w:i/>
          <w:sz w:val="28"/>
        </w:rPr>
        <w:fldChar w:fldCharType="end"/>
      </w:r>
      <w:r>
        <w:rPr>
          <w:rFonts w:hint="eastAsia" w:eastAsia="宋体"/>
          <w:b/>
          <w:i/>
          <w:sz w:val="28"/>
          <w:lang w:val="en-US" w:eastAsia="zh-CN"/>
        </w:rPr>
        <w:t>50573</w:t>
      </w:r>
      <w:bookmarkStart w:id="13" w:name="_GoBack"/>
      <w:bookmarkEnd w:id="13"/>
    </w:p>
    <w:p w14:paraId="301E4909">
      <w:pPr>
        <w:pStyle w:val="81"/>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01E490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01E490A">
            <w:pPr>
              <w:pStyle w:val="81"/>
              <w:spacing w:after="0"/>
              <w:jc w:val="right"/>
              <w:rPr>
                <w:i/>
              </w:rPr>
            </w:pPr>
            <w:r>
              <w:rPr>
                <w:i/>
                <w:sz w:val="14"/>
              </w:rPr>
              <w:t>CR-Form-v12.3</w:t>
            </w:r>
          </w:p>
        </w:tc>
      </w:tr>
      <w:tr w14:paraId="301E490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1E490C">
            <w:pPr>
              <w:pStyle w:val="81"/>
              <w:spacing w:after="0"/>
              <w:jc w:val="center"/>
            </w:pPr>
            <w:r>
              <w:rPr>
                <w:b/>
                <w:sz w:val="32"/>
              </w:rPr>
              <w:t>CHANGE REQUEST</w:t>
            </w:r>
          </w:p>
        </w:tc>
      </w:tr>
      <w:tr w14:paraId="301E490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1E490E">
            <w:pPr>
              <w:pStyle w:val="81"/>
              <w:spacing w:after="0"/>
              <w:rPr>
                <w:sz w:val="8"/>
                <w:szCs w:val="8"/>
              </w:rPr>
            </w:pPr>
          </w:p>
        </w:tc>
      </w:tr>
      <w:tr w14:paraId="301E4919">
        <w:tblPrEx>
          <w:tblCellMar>
            <w:top w:w="0" w:type="dxa"/>
            <w:left w:w="42" w:type="dxa"/>
            <w:bottom w:w="0" w:type="dxa"/>
            <w:right w:w="42" w:type="dxa"/>
          </w:tblCellMar>
        </w:tblPrEx>
        <w:tc>
          <w:tcPr>
            <w:tcW w:w="142" w:type="dxa"/>
            <w:tcBorders>
              <w:left w:val="single" w:color="auto" w:sz="4" w:space="0"/>
            </w:tcBorders>
          </w:tcPr>
          <w:p w14:paraId="301E4910">
            <w:pPr>
              <w:pStyle w:val="81"/>
              <w:spacing w:after="0"/>
              <w:jc w:val="right"/>
            </w:pPr>
          </w:p>
        </w:tc>
        <w:tc>
          <w:tcPr>
            <w:tcW w:w="1559" w:type="dxa"/>
            <w:shd w:val="pct30" w:color="FFFF00" w:fill="auto"/>
          </w:tcPr>
          <w:p w14:paraId="301E4911">
            <w:pPr>
              <w:pStyle w:val="81"/>
              <w:spacing w:after="0"/>
              <w:jc w:val="right"/>
              <w:rPr>
                <w:b/>
                <w:sz w:val="28"/>
              </w:rPr>
            </w:pPr>
            <w:r>
              <w:fldChar w:fldCharType="begin"/>
            </w:r>
            <w:r>
              <w:instrText xml:space="preserve"> DOCPROPERTY  Spec#  \* MERGEFORMAT </w:instrText>
            </w:r>
            <w:r>
              <w:fldChar w:fldCharType="separate"/>
            </w:r>
            <w:r>
              <w:rPr>
                <w:b/>
                <w:sz w:val="28"/>
              </w:rPr>
              <w:t>32.130</w:t>
            </w:r>
            <w:r>
              <w:rPr>
                <w:b/>
                <w:sz w:val="28"/>
              </w:rPr>
              <w:fldChar w:fldCharType="end"/>
            </w:r>
          </w:p>
        </w:tc>
        <w:tc>
          <w:tcPr>
            <w:tcW w:w="709" w:type="dxa"/>
          </w:tcPr>
          <w:p w14:paraId="301E4912">
            <w:pPr>
              <w:pStyle w:val="81"/>
              <w:spacing w:after="0"/>
              <w:jc w:val="center"/>
            </w:pPr>
            <w:r>
              <w:rPr>
                <w:b/>
                <w:sz w:val="28"/>
              </w:rPr>
              <w:t>CR</w:t>
            </w:r>
          </w:p>
        </w:tc>
        <w:tc>
          <w:tcPr>
            <w:tcW w:w="1276" w:type="dxa"/>
            <w:shd w:val="pct30" w:color="FFFF00" w:fill="auto"/>
          </w:tcPr>
          <w:p w14:paraId="301E4913">
            <w:pPr>
              <w:pStyle w:val="81"/>
              <w:spacing w:after="0"/>
              <w:rPr>
                <w:rFonts w:hint="eastAsia" w:eastAsia="宋体"/>
                <w:lang w:eastAsia="zh-CN"/>
              </w:rPr>
            </w:pPr>
            <w:r>
              <w:fldChar w:fldCharType="begin"/>
            </w:r>
            <w:r>
              <w:instrText xml:space="preserve"> DOCPROPERTY  Cr#  \* MERGEFORMAT </w:instrText>
            </w:r>
            <w:r>
              <w:fldChar w:fldCharType="separate"/>
            </w:r>
            <w:r>
              <w:rPr>
                <w:rFonts w:hint="eastAsia" w:eastAsia="宋体"/>
                <w:b/>
                <w:sz w:val="28"/>
                <w:lang w:val="en-US" w:eastAsia="zh-CN"/>
              </w:rPr>
              <w:t>0041</w:t>
            </w:r>
            <w:r>
              <w:rPr>
                <w:rFonts w:hint="eastAsia" w:eastAsia="宋体"/>
                <w:b/>
                <w:sz w:val="28"/>
                <w:lang w:eastAsia="zh-CN"/>
              </w:rPr>
              <w:fldChar w:fldCharType="end"/>
            </w:r>
          </w:p>
        </w:tc>
        <w:tc>
          <w:tcPr>
            <w:tcW w:w="709" w:type="dxa"/>
          </w:tcPr>
          <w:p w14:paraId="301E4914">
            <w:pPr>
              <w:pStyle w:val="81"/>
              <w:tabs>
                <w:tab w:val="right" w:pos="625"/>
              </w:tabs>
              <w:spacing w:after="0"/>
              <w:jc w:val="center"/>
            </w:pPr>
            <w:r>
              <w:rPr>
                <w:b/>
                <w:bCs/>
                <w:sz w:val="28"/>
              </w:rPr>
              <w:t>rev</w:t>
            </w:r>
          </w:p>
        </w:tc>
        <w:tc>
          <w:tcPr>
            <w:tcW w:w="992" w:type="dxa"/>
            <w:shd w:val="pct30" w:color="FFFF00" w:fill="auto"/>
          </w:tcPr>
          <w:p w14:paraId="301E4915">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301E4916">
            <w:pPr>
              <w:pStyle w:val="81"/>
              <w:tabs>
                <w:tab w:val="right" w:pos="1825"/>
              </w:tabs>
              <w:spacing w:after="0"/>
              <w:jc w:val="center"/>
            </w:pPr>
            <w:r>
              <w:rPr>
                <w:b/>
                <w:sz w:val="28"/>
                <w:szCs w:val="28"/>
              </w:rPr>
              <w:t>Current version:</w:t>
            </w:r>
          </w:p>
        </w:tc>
        <w:tc>
          <w:tcPr>
            <w:tcW w:w="1701" w:type="dxa"/>
            <w:shd w:val="pct30" w:color="FFFF00" w:fill="auto"/>
          </w:tcPr>
          <w:p w14:paraId="301E4917">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14:paraId="301E4918">
            <w:pPr>
              <w:pStyle w:val="81"/>
              <w:spacing w:after="0"/>
            </w:pPr>
          </w:p>
        </w:tc>
      </w:tr>
      <w:tr w14:paraId="301E491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1E491A">
            <w:pPr>
              <w:pStyle w:val="81"/>
              <w:spacing w:after="0"/>
            </w:pPr>
          </w:p>
        </w:tc>
      </w:tr>
      <w:tr w14:paraId="301E491D">
        <w:tblPrEx>
          <w:tblCellMar>
            <w:top w:w="0" w:type="dxa"/>
            <w:left w:w="42" w:type="dxa"/>
            <w:bottom w:w="0" w:type="dxa"/>
            <w:right w:w="42" w:type="dxa"/>
          </w:tblCellMar>
        </w:tblPrEx>
        <w:tc>
          <w:tcPr>
            <w:tcW w:w="9641" w:type="dxa"/>
            <w:gridSpan w:val="9"/>
            <w:tcBorders>
              <w:top w:val="single" w:color="auto" w:sz="4" w:space="0"/>
            </w:tcBorders>
          </w:tcPr>
          <w:p w14:paraId="301E491C">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301E491F">
        <w:tblPrEx>
          <w:tblCellMar>
            <w:top w:w="0" w:type="dxa"/>
            <w:left w:w="42" w:type="dxa"/>
            <w:bottom w:w="0" w:type="dxa"/>
            <w:right w:w="42" w:type="dxa"/>
          </w:tblCellMar>
        </w:tblPrEx>
        <w:tc>
          <w:tcPr>
            <w:tcW w:w="9641" w:type="dxa"/>
            <w:gridSpan w:val="9"/>
          </w:tcPr>
          <w:p w14:paraId="301E491E">
            <w:pPr>
              <w:pStyle w:val="81"/>
              <w:spacing w:after="0"/>
              <w:rPr>
                <w:sz w:val="8"/>
                <w:szCs w:val="8"/>
              </w:rPr>
            </w:pPr>
          </w:p>
        </w:tc>
      </w:tr>
    </w:tbl>
    <w:p w14:paraId="301E4920">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01E492A">
        <w:tblPrEx>
          <w:tblCellMar>
            <w:top w:w="0" w:type="dxa"/>
            <w:left w:w="42" w:type="dxa"/>
            <w:bottom w:w="0" w:type="dxa"/>
            <w:right w:w="42" w:type="dxa"/>
          </w:tblCellMar>
        </w:tblPrEx>
        <w:tc>
          <w:tcPr>
            <w:tcW w:w="2835" w:type="dxa"/>
          </w:tcPr>
          <w:p w14:paraId="301E4921">
            <w:pPr>
              <w:pStyle w:val="81"/>
              <w:tabs>
                <w:tab w:val="right" w:pos="2751"/>
              </w:tabs>
              <w:spacing w:after="0"/>
              <w:rPr>
                <w:b/>
                <w:i/>
              </w:rPr>
            </w:pPr>
            <w:r>
              <w:rPr>
                <w:b/>
                <w:i/>
              </w:rPr>
              <w:t>Proposed change affects:</w:t>
            </w:r>
          </w:p>
        </w:tc>
        <w:tc>
          <w:tcPr>
            <w:tcW w:w="1418" w:type="dxa"/>
          </w:tcPr>
          <w:p w14:paraId="301E4922">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01E4923">
            <w:pPr>
              <w:pStyle w:val="81"/>
              <w:spacing w:after="0"/>
              <w:jc w:val="center"/>
              <w:rPr>
                <w:b/>
                <w:caps/>
              </w:rPr>
            </w:pPr>
          </w:p>
        </w:tc>
        <w:tc>
          <w:tcPr>
            <w:tcW w:w="709" w:type="dxa"/>
            <w:tcBorders>
              <w:left w:val="single" w:color="auto" w:sz="4" w:space="0"/>
            </w:tcBorders>
          </w:tcPr>
          <w:p w14:paraId="301E4924">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01E4925">
            <w:pPr>
              <w:pStyle w:val="81"/>
              <w:spacing w:after="0"/>
              <w:jc w:val="center"/>
              <w:rPr>
                <w:b/>
                <w:caps/>
              </w:rPr>
            </w:pPr>
          </w:p>
        </w:tc>
        <w:tc>
          <w:tcPr>
            <w:tcW w:w="2126" w:type="dxa"/>
          </w:tcPr>
          <w:p w14:paraId="301E4926">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01E4927">
            <w:pPr>
              <w:pStyle w:val="81"/>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14:paraId="301E4928">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01E4929">
            <w:pPr>
              <w:pStyle w:val="81"/>
              <w:spacing w:after="0"/>
              <w:jc w:val="center"/>
              <w:rPr>
                <w:rFonts w:eastAsia="宋体"/>
                <w:b/>
                <w:bCs/>
                <w:caps/>
                <w:lang w:val="en-US" w:eastAsia="zh-CN"/>
              </w:rPr>
            </w:pPr>
            <w:r>
              <w:rPr>
                <w:rFonts w:hint="eastAsia" w:eastAsia="宋体"/>
                <w:b/>
                <w:bCs/>
                <w:caps/>
                <w:lang w:val="en-US" w:eastAsia="zh-CN"/>
              </w:rPr>
              <w:t>X</w:t>
            </w:r>
          </w:p>
        </w:tc>
      </w:tr>
    </w:tbl>
    <w:p w14:paraId="301E492B">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01E492D">
        <w:tblPrEx>
          <w:tblCellMar>
            <w:top w:w="0" w:type="dxa"/>
            <w:left w:w="42" w:type="dxa"/>
            <w:bottom w:w="0" w:type="dxa"/>
            <w:right w:w="42" w:type="dxa"/>
          </w:tblCellMar>
        </w:tblPrEx>
        <w:tc>
          <w:tcPr>
            <w:tcW w:w="9640" w:type="dxa"/>
            <w:gridSpan w:val="11"/>
          </w:tcPr>
          <w:p w14:paraId="301E492C">
            <w:pPr>
              <w:pStyle w:val="81"/>
              <w:spacing w:after="0"/>
              <w:rPr>
                <w:sz w:val="8"/>
                <w:szCs w:val="8"/>
              </w:rPr>
            </w:pPr>
          </w:p>
        </w:tc>
      </w:tr>
      <w:tr w14:paraId="301E4930">
        <w:tblPrEx>
          <w:tblCellMar>
            <w:top w:w="0" w:type="dxa"/>
            <w:left w:w="42" w:type="dxa"/>
            <w:bottom w:w="0" w:type="dxa"/>
            <w:right w:w="42" w:type="dxa"/>
          </w:tblCellMar>
        </w:tblPrEx>
        <w:tc>
          <w:tcPr>
            <w:tcW w:w="1843" w:type="dxa"/>
            <w:tcBorders>
              <w:top w:val="single" w:color="auto" w:sz="4" w:space="0"/>
              <w:left w:val="single" w:color="auto" w:sz="4" w:space="0"/>
            </w:tcBorders>
          </w:tcPr>
          <w:p w14:paraId="301E492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01E492F">
            <w:pPr>
              <w:pStyle w:val="81"/>
              <w:spacing w:after="0"/>
              <w:ind w:left="100"/>
            </w:pPr>
            <w:r>
              <w:fldChar w:fldCharType="begin"/>
            </w:r>
            <w:r>
              <w:instrText xml:space="preserve"> DOCPROPERTY  CrTitle  \* MERGEFORMAT </w:instrText>
            </w:r>
            <w:r>
              <w:fldChar w:fldCharType="separate"/>
            </w:r>
            <w:r>
              <w:t xml:space="preserve">Rel-19 CR TS 32.130 Add requirements for </w:t>
            </w:r>
            <w:r>
              <w:rPr>
                <w:rFonts w:hint="eastAsia" w:eastAsia="宋体"/>
                <w:lang w:val="en-US" w:eastAsia="zh-CN"/>
              </w:rPr>
              <w:t xml:space="preserve">RAN and CN </w:t>
            </w:r>
            <w:r>
              <w:t>Management of Indirect of Network Sharing</w:t>
            </w:r>
            <w:r>
              <w:fldChar w:fldCharType="end"/>
            </w:r>
          </w:p>
        </w:tc>
      </w:tr>
      <w:tr w14:paraId="301E4933">
        <w:tblPrEx>
          <w:tblCellMar>
            <w:top w:w="0" w:type="dxa"/>
            <w:left w:w="42" w:type="dxa"/>
            <w:bottom w:w="0" w:type="dxa"/>
            <w:right w:w="42" w:type="dxa"/>
          </w:tblCellMar>
        </w:tblPrEx>
        <w:tc>
          <w:tcPr>
            <w:tcW w:w="1843" w:type="dxa"/>
            <w:tcBorders>
              <w:left w:val="single" w:color="auto" w:sz="4" w:space="0"/>
            </w:tcBorders>
          </w:tcPr>
          <w:p w14:paraId="301E4931">
            <w:pPr>
              <w:pStyle w:val="81"/>
              <w:spacing w:after="0"/>
              <w:rPr>
                <w:b/>
                <w:i/>
                <w:sz w:val="8"/>
                <w:szCs w:val="8"/>
              </w:rPr>
            </w:pPr>
          </w:p>
        </w:tc>
        <w:tc>
          <w:tcPr>
            <w:tcW w:w="7797" w:type="dxa"/>
            <w:gridSpan w:val="10"/>
            <w:tcBorders>
              <w:right w:val="single" w:color="auto" w:sz="4" w:space="0"/>
            </w:tcBorders>
          </w:tcPr>
          <w:p w14:paraId="301E4932">
            <w:pPr>
              <w:pStyle w:val="81"/>
              <w:spacing w:after="0"/>
              <w:rPr>
                <w:sz w:val="8"/>
                <w:szCs w:val="8"/>
              </w:rPr>
            </w:pPr>
          </w:p>
        </w:tc>
      </w:tr>
      <w:tr w14:paraId="301E4936">
        <w:tblPrEx>
          <w:tblCellMar>
            <w:top w:w="0" w:type="dxa"/>
            <w:left w:w="42" w:type="dxa"/>
            <w:bottom w:w="0" w:type="dxa"/>
            <w:right w:w="42" w:type="dxa"/>
          </w:tblCellMar>
        </w:tblPrEx>
        <w:tc>
          <w:tcPr>
            <w:tcW w:w="1843" w:type="dxa"/>
            <w:tcBorders>
              <w:left w:val="single" w:color="auto" w:sz="4" w:space="0"/>
            </w:tcBorders>
          </w:tcPr>
          <w:p w14:paraId="301E493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01E4935">
            <w:pPr>
              <w:pStyle w:val="81"/>
              <w:spacing w:after="0"/>
              <w:ind w:left="100"/>
              <w:rPr>
                <w:rFonts w:hint="eastAsia" w:eastAsia="宋体"/>
                <w:lang w:eastAsia="zh-CN"/>
              </w:rPr>
            </w:pPr>
            <w:r>
              <w:fldChar w:fldCharType="begin"/>
            </w:r>
            <w:r>
              <w:instrText xml:space="preserve"> DOCPROPERTY  SourceIfWg  \* MERGEFORMAT </w:instrText>
            </w:r>
            <w:r>
              <w:fldChar w:fldCharType="separate"/>
            </w:r>
            <w:r>
              <w:t>China Unicom</w:t>
            </w:r>
            <w:r>
              <w:fldChar w:fldCharType="end"/>
            </w:r>
            <w:r>
              <w:rPr>
                <w:rFonts w:hint="eastAsia" w:eastAsia="宋体"/>
                <w:lang w:eastAsia="zh-CN"/>
              </w:rPr>
              <w:t>, China Telecom</w:t>
            </w:r>
          </w:p>
        </w:tc>
      </w:tr>
      <w:tr w14:paraId="301E4939">
        <w:tblPrEx>
          <w:tblCellMar>
            <w:top w:w="0" w:type="dxa"/>
            <w:left w:w="42" w:type="dxa"/>
            <w:bottom w:w="0" w:type="dxa"/>
            <w:right w:w="42" w:type="dxa"/>
          </w:tblCellMar>
        </w:tblPrEx>
        <w:tc>
          <w:tcPr>
            <w:tcW w:w="1843" w:type="dxa"/>
            <w:tcBorders>
              <w:left w:val="single" w:color="auto" w:sz="4" w:space="0"/>
            </w:tcBorders>
          </w:tcPr>
          <w:p w14:paraId="301E4937">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01E4938">
            <w:pPr>
              <w:pStyle w:val="81"/>
              <w:spacing w:after="0"/>
              <w:ind w:left="100"/>
            </w:pPr>
            <w:r>
              <w:rPr>
                <w:rFonts w:hint="eastAsia" w:eastAsia="宋体"/>
                <w:lang w:eastAsia="zh-CN"/>
              </w:rPr>
              <w:t>SA5</w:t>
            </w:r>
            <w:r>
              <w:fldChar w:fldCharType="begin"/>
            </w:r>
            <w:r>
              <w:instrText xml:space="preserve"> DOCPROPERTY  SourceIfTsg  \* MERGEFORMAT </w:instrText>
            </w:r>
            <w:r>
              <w:fldChar w:fldCharType="separate"/>
            </w:r>
            <w:r>
              <w:fldChar w:fldCharType="end"/>
            </w:r>
          </w:p>
        </w:tc>
      </w:tr>
      <w:tr w14:paraId="301E493C">
        <w:tblPrEx>
          <w:tblCellMar>
            <w:top w:w="0" w:type="dxa"/>
            <w:left w:w="42" w:type="dxa"/>
            <w:bottom w:w="0" w:type="dxa"/>
            <w:right w:w="42" w:type="dxa"/>
          </w:tblCellMar>
        </w:tblPrEx>
        <w:tc>
          <w:tcPr>
            <w:tcW w:w="1843" w:type="dxa"/>
            <w:tcBorders>
              <w:left w:val="single" w:color="auto" w:sz="4" w:space="0"/>
            </w:tcBorders>
          </w:tcPr>
          <w:p w14:paraId="301E493A">
            <w:pPr>
              <w:pStyle w:val="81"/>
              <w:spacing w:after="0"/>
              <w:rPr>
                <w:b/>
                <w:i/>
                <w:sz w:val="8"/>
                <w:szCs w:val="8"/>
              </w:rPr>
            </w:pPr>
          </w:p>
        </w:tc>
        <w:tc>
          <w:tcPr>
            <w:tcW w:w="7797" w:type="dxa"/>
            <w:gridSpan w:val="10"/>
            <w:tcBorders>
              <w:right w:val="single" w:color="auto" w:sz="4" w:space="0"/>
            </w:tcBorders>
          </w:tcPr>
          <w:p w14:paraId="301E493B">
            <w:pPr>
              <w:pStyle w:val="81"/>
              <w:spacing w:after="0"/>
              <w:rPr>
                <w:sz w:val="8"/>
                <w:szCs w:val="8"/>
              </w:rPr>
            </w:pPr>
          </w:p>
        </w:tc>
      </w:tr>
      <w:tr w14:paraId="301E4942">
        <w:tblPrEx>
          <w:tblCellMar>
            <w:top w:w="0" w:type="dxa"/>
            <w:left w:w="42" w:type="dxa"/>
            <w:bottom w:w="0" w:type="dxa"/>
            <w:right w:w="42" w:type="dxa"/>
          </w:tblCellMar>
        </w:tblPrEx>
        <w:tc>
          <w:tcPr>
            <w:tcW w:w="1843" w:type="dxa"/>
            <w:tcBorders>
              <w:left w:val="single" w:color="auto" w:sz="4" w:space="0"/>
            </w:tcBorders>
          </w:tcPr>
          <w:p w14:paraId="301E493D">
            <w:pPr>
              <w:pStyle w:val="81"/>
              <w:tabs>
                <w:tab w:val="right" w:pos="1759"/>
              </w:tabs>
              <w:spacing w:after="0"/>
              <w:rPr>
                <w:b/>
                <w:i/>
              </w:rPr>
            </w:pPr>
            <w:r>
              <w:rPr>
                <w:b/>
                <w:i/>
              </w:rPr>
              <w:t>Work item code:</w:t>
            </w:r>
          </w:p>
        </w:tc>
        <w:tc>
          <w:tcPr>
            <w:tcW w:w="3686" w:type="dxa"/>
            <w:gridSpan w:val="5"/>
            <w:shd w:val="pct30" w:color="FFFF00" w:fill="auto"/>
          </w:tcPr>
          <w:p w14:paraId="301E493E">
            <w:pPr>
              <w:pStyle w:val="81"/>
              <w:spacing w:after="0"/>
              <w:ind w:left="100"/>
            </w:pPr>
            <w:r>
              <w:rPr>
                <w:rFonts w:hint="eastAsia"/>
                <w:lang w:val="en-US" w:eastAsia="zh-CN"/>
              </w:rPr>
              <w:t>NetShare_OAM_Ph3</w:t>
            </w:r>
          </w:p>
        </w:tc>
        <w:tc>
          <w:tcPr>
            <w:tcW w:w="567" w:type="dxa"/>
            <w:tcBorders>
              <w:left w:val="nil"/>
            </w:tcBorders>
          </w:tcPr>
          <w:p w14:paraId="301E493F">
            <w:pPr>
              <w:pStyle w:val="81"/>
              <w:spacing w:after="0"/>
              <w:ind w:right="100"/>
            </w:pPr>
          </w:p>
        </w:tc>
        <w:tc>
          <w:tcPr>
            <w:tcW w:w="1417" w:type="dxa"/>
            <w:gridSpan w:val="3"/>
            <w:tcBorders>
              <w:left w:val="nil"/>
            </w:tcBorders>
          </w:tcPr>
          <w:p w14:paraId="301E4940">
            <w:pPr>
              <w:pStyle w:val="81"/>
              <w:spacing w:after="0"/>
              <w:jc w:val="right"/>
            </w:pPr>
            <w:r>
              <w:rPr>
                <w:b/>
                <w:i/>
              </w:rPr>
              <w:t>Date:</w:t>
            </w:r>
          </w:p>
        </w:tc>
        <w:tc>
          <w:tcPr>
            <w:tcW w:w="2127" w:type="dxa"/>
            <w:tcBorders>
              <w:right w:val="single" w:color="auto" w:sz="4" w:space="0"/>
            </w:tcBorders>
            <w:shd w:val="pct30" w:color="FFFF00" w:fill="auto"/>
          </w:tcPr>
          <w:p w14:paraId="301E4941">
            <w:pPr>
              <w:pStyle w:val="81"/>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02</w:t>
            </w:r>
            <w:r>
              <w:t>-08</w:t>
            </w:r>
            <w:r>
              <w:fldChar w:fldCharType="end"/>
            </w:r>
          </w:p>
        </w:tc>
      </w:tr>
      <w:tr w14:paraId="301E4948">
        <w:tblPrEx>
          <w:tblCellMar>
            <w:top w:w="0" w:type="dxa"/>
            <w:left w:w="42" w:type="dxa"/>
            <w:bottom w:w="0" w:type="dxa"/>
            <w:right w:w="42" w:type="dxa"/>
          </w:tblCellMar>
        </w:tblPrEx>
        <w:tc>
          <w:tcPr>
            <w:tcW w:w="1843" w:type="dxa"/>
            <w:tcBorders>
              <w:left w:val="single" w:color="auto" w:sz="4" w:space="0"/>
            </w:tcBorders>
          </w:tcPr>
          <w:p w14:paraId="301E4943">
            <w:pPr>
              <w:pStyle w:val="81"/>
              <w:spacing w:after="0"/>
              <w:rPr>
                <w:b/>
                <w:i/>
                <w:sz w:val="8"/>
                <w:szCs w:val="8"/>
              </w:rPr>
            </w:pPr>
          </w:p>
        </w:tc>
        <w:tc>
          <w:tcPr>
            <w:tcW w:w="1986" w:type="dxa"/>
            <w:gridSpan w:val="4"/>
          </w:tcPr>
          <w:p w14:paraId="301E4944">
            <w:pPr>
              <w:pStyle w:val="81"/>
              <w:spacing w:after="0"/>
              <w:rPr>
                <w:sz w:val="8"/>
                <w:szCs w:val="8"/>
              </w:rPr>
            </w:pPr>
          </w:p>
        </w:tc>
        <w:tc>
          <w:tcPr>
            <w:tcW w:w="2267" w:type="dxa"/>
            <w:gridSpan w:val="2"/>
          </w:tcPr>
          <w:p w14:paraId="301E4945">
            <w:pPr>
              <w:pStyle w:val="81"/>
              <w:spacing w:after="0"/>
              <w:rPr>
                <w:sz w:val="8"/>
                <w:szCs w:val="8"/>
              </w:rPr>
            </w:pPr>
          </w:p>
        </w:tc>
        <w:tc>
          <w:tcPr>
            <w:tcW w:w="1417" w:type="dxa"/>
            <w:gridSpan w:val="3"/>
          </w:tcPr>
          <w:p w14:paraId="301E4946">
            <w:pPr>
              <w:pStyle w:val="81"/>
              <w:spacing w:after="0"/>
              <w:rPr>
                <w:sz w:val="8"/>
                <w:szCs w:val="8"/>
              </w:rPr>
            </w:pPr>
          </w:p>
        </w:tc>
        <w:tc>
          <w:tcPr>
            <w:tcW w:w="2127" w:type="dxa"/>
            <w:tcBorders>
              <w:right w:val="single" w:color="auto" w:sz="4" w:space="0"/>
            </w:tcBorders>
          </w:tcPr>
          <w:p w14:paraId="301E4947">
            <w:pPr>
              <w:pStyle w:val="81"/>
              <w:spacing w:after="0"/>
              <w:rPr>
                <w:sz w:val="8"/>
                <w:szCs w:val="8"/>
              </w:rPr>
            </w:pPr>
          </w:p>
        </w:tc>
      </w:tr>
      <w:tr w14:paraId="301E494E">
        <w:tblPrEx>
          <w:tblCellMar>
            <w:top w:w="0" w:type="dxa"/>
            <w:left w:w="42" w:type="dxa"/>
            <w:bottom w:w="0" w:type="dxa"/>
            <w:right w:w="42" w:type="dxa"/>
          </w:tblCellMar>
        </w:tblPrEx>
        <w:trPr>
          <w:cantSplit/>
        </w:trPr>
        <w:tc>
          <w:tcPr>
            <w:tcW w:w="1843" w:type="dxa"/>
            <w:tcBorders>
              <w:left w:val="single" w:color="auto" w:sz="4" w:space="0"/>
            </w:tcBorders>
          </w:tcPr>
          <w:p w14:paraId="301E4949">
            <w:pPr>
              <w:pStyle w:val="81"/>
              <w:tabs>
                <w:tab w:val="right" w:pos="1759"/>
              </w:tabs>
              <w:spacing w:after="0"/>
              <w:rPr>
                <w:b/>
                <w:i/>
              </w:rPr>
            </w:pPr>
            <w:r>
              <w:rPr>
                <w:b/>
                <w:i/>
              </w:rPr>
              <w:t>Category:</w:t>
            </w:r>
          </w:p>
        </w:tc>
        <w:tc>
          <w:tcPr>
            <w:tcW w:w="851" w:type="dxa"/>
            <w:shd w:val="pct30" w:color="FFFF00" w:fill="auto"/>
          </w:tcPr>
          <w:p w14:paraId="301E494A">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301E494B">
            <w:pPr>
              <w:pStyle w:val="81"/>
              <w:spacing w:after="0"/>
            </w:pPr>
          </w:p>
        </w:tc>
        <w:tc>
          <w:tcPr>
            <w:tcW w:w="1417" w:type="dxa"/>
            <w:gridSpan w:val="3"/>
            <w:tcBorders>
              <w:left w:val="nil"/>
            </w:tcBorders>
          </w:tcPr>
          <w:p w14:paraId="301E494C">
            <w:pPr>
              <w:pStyle w:val="81"/>
              <w:spacing w:after="0"/>
              <w:jc w:val="right"/>
              <w:rPr>
                <w:b/>
                <w:i/>
              </w:rPr>
            </w:pPr>
            <w:r>
              <w:rPr>
                <w:b/>
                <w:i/>
              </w:rPr>
              <w:t>Release:</w:t>
            </w:r>
          </w:p>
        </w:tc>
        <w:tc>
          <w:tcPr>
            <w:tcW w:w="2127" w:type="dxa"/>
            <w:tcBorders>
              <w:right w:val="single" w:color="auto" w:sz="4" w:space="0"/>
            </w:tcBorders>
            <w:shd w:val="pct30" w:color="FFFF00" w:fill="auto"/>
          </w:tcPr>
          <w:p w14:paraId="301E494D">
            <w:pPr>
              <w:pStyle w:val="81"/>
              <w:spacing w:after="0"/>
              <w:ind w:left="100"/>
            </w:pPr>
            <w:r>
              <w:fldChar w:fldCharType="begin"/>
            </w:r>
            <w:r>
              <w:instrText xml:space="preserve"> DOCPROPERTY  Release  \* MERGEFORMAT </w:instrText>
            </w:r>
            <w:r>
              <w:fldChar w:fldCharType="separate"/>
            </w:r>
            <w:r>
              <w:t>Rel-19</w:t>
            </w:r>
            <w:r>
              <w:fldChar w:fldCharType="end"/>
            </w:r>
          </w:p>
        </w:tc>
      </w:tr>
      <w:tr w14:paraId="301E4953">
        <w:tblPrEx>
          <w:tblCellMar>
            <w:top w:w="0" w:type="dxa"/>
            <w:left w:w="42" w:type="dxa"/>
            <w:bottom w:w="0" w:type="dxa"/>
            <w:right w:w="42" w:type="dxa"/>
          </w:tblCellMar>
        </w:tblPrEx>
        <w:tc>
          <w:tcPr>
            <w:tcW w:w="1843" w:type="dxa"/>
            <w:tcBorders>
              <w:left w:val="single" w:color="auto" w:sz="4" w:space="0"/>
              <w:bottom w:val="single" w:color="auto" w:sz="4" w:space="0"/>
            </w:tcBorders>
          </w:tcPr>
          <w:p w14:paraId="301E494F">
            <w:pPr>
              <w:pStyle w:val="81"/>
              <w:spacing w:after="0"/>
              <w:rPr>
                <w:b/>
                <w:i/>
              </w:rPr>
            </w:pPr>
          </w:p>
        </w:tc>
        <w:tc>
          <w:tcPr>
            <w:tcW w:w="4677" w:type="dxa"/>
            <w:gridSpan w:val="8"/>
            <w:tcBorders>
              <w:bottom w:val="single" w:color="auto" w:sz="4" w:space="0"/>
            </w:tcBorders>
          </w:tcPr>
          <w:p w14:paraId="301E4950">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01E4951">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301E4952">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01E4956">
        <w:tblPrEx>
          <w:tblCellMar>
            <w:top w:w="0" w:type="dxa"/>
            <w:left w:w="42" w:type="dxa"/>
            <w:bottom w:w="0" w:type="dxa"/>
            <w:right w:w="42" w:type="dxa"/>
          </w:tblCellMar>
        </w:tblPrEx>
        <w:tc>
          <w:tcPr>
            <w:tcW w:w="1843" w:type="dxa"/>
          </w:tcPr>
          <w:p w14:paraId="301E4954">
            <w:pPr>
              <w:pStyle w:val="81"/>
              <w:spacing w:after="0"/>
              <w:rPr>
                <w:b/>
                <w:i/>
                <w:sz w:val="8"/>
                <w:szCs w:val="8"/>
              </w:rPr>
            </w:pPr>
          </w:p>
        </w:tc>
        <w:tc>
          <w:tcPr>
            <w:tcW w:w="7797" w:type="dxa"/>
            <w:gridSpan w:val="10"/>
          </w:tcPr>
          <w:p w14:paraId="301E4955">
            <w:pPr>
              <w:pStyle w:val="81"/>
              <w:spacing w:after="0"/>
              <w:rPr>
                <w:sz w:val="8"/>
                <w:szCs w:val="8"/>
              </w:rPr>
            </w:pPr>
          </w:p>
        </w:tc>
      </w:tr>
      <w:tr w14:paraId="301E495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01E4957">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01E4958">
            <w:pPr>
              <w:pStyle w:val="81"/>
              <w:spacing w:after="0"/>
              <w:ind w:left="100"/>
              <w:rPr>
                <w:rFonts w:eastAsia="宋体"/>
                <w:lang w:eastAsia="zh-CN"/>
              </w:rPr>
            </w:pPr>
            <w:r>
              <w:t xml:space="preserve">As agreed in S5-246289, </w:t>
            </w:r>
            <w:r>
              <w:rPr>
                <w:rFonts w:hint="eastAsia" w:eastAsia="宋体"/>
                <w:lang w:eastAsia="zh-CN"/>
              </w:rPr>
              <w:t>WT-2.2 Add descriptions to support RAN and CN configurations for Indirect Network Sharing</w:t>
            </w:r>
            <w:r>
              <w:rPr>
                <w:rFonts w:eastAsia="宋体"/>
                <w:lang w:eastAsia="zh-CN"/>
              </w:rPr>
              <w:t xml:space="preserve"> </w:t>
            </w:r>
            <w:r>
              <w:t>is agreed.</w:t>
            </w:r>
          </w:p>
          <w:p w14:paraId="301E4959">
            <w:pPr>
              <w:pStyle w:val="81"/>
              <w:spacing w:after="0"/>
              <w:ind w:left="100"/>
              <w:rPr>
                <w:rFonts w:eastAsia="宋体"/>
                <w:lang w:eastAsia="zh-CN"/>
              </w:rPr>
            </w:pPr>
            <w:r>
              <w:rPr>
                <w:rFonts w:hint="eastAsia" w:eastAsia="宋体"/>
                <w:lang w:eastAsia="zh-CN"/>
              </w:rPr>
              <w:t>According to 3GPP TS 23.501 [10], Indirect Network Sharing is supported as follow:</w:t>
            </w:r>
          </w:p>
          <w:p w14:paraId="301E495A">
            <w:pPr>
              <w:pStyle w:val="81"/>
              <w:spacing w:after="0"/>
              <w:ind w:left="100"/>
              <w:rPr>
                <w:rFonts w:eastAsia="宋体"/>
                <w:lang w:eastAsia="zh-CN"/>
              </w:rPr>
            </w:pPr>
            <w:r>
              <w:rPr>
                <w:rFonts w:hint="eastAsia" w:eastAsia="宋体"/>
                <w:lang w:eastAsia="zh-CN"/>
              </w:rPr>
              <w:tab/>
            </w:r>
            <w:r>
              <w:rPr>
                <w:rFonts w:hint="eastAsia" w:eastAsia="宋体"/>
                <w:lang w:eastAsia="zh-CN"/>
              </w:rPr>
              <w:t>"For Indirect Network Sharing, the shared RAN is broadcasting multiple PLMN IDs, including the PLMN ID which represents the hosting operator and the PLMN IDs which represent participating operators.".</w:t>
            </w:r>
          </w:p>
          <w:p w14:paraId="301E495B">
            <w:pPr>
              <w:pStyle w:val="81"/>
              <w:spacing w:after="0"/>
              <w:ind w:left="100"/>
              <w:rPr>
                <w:rFonts w:eastAsia="宋体"/>
                <w:lang w:eastAsia="zh-CN"/>
              </w:rPr>
            </w:pPr>
            <w:r>
              <w:rPr>
                <w:rFonts w:hint="eastAsia" w:eastAsia="宋体"/>
                <w:lang w:eastAsia="zh-CN"/>
              </w:rPr>
              <w:t>To achieve the management of RAN sharing for Indirect Network Sharing, multiple PLMN IDs with same Cell identity broadcast and multiple Cell identity broadcast are supposed to be supported configuring.</w:t>
            </w:r>
          </w:p>
          <w:p w14:paraId="301E495C">
            <w:pPr>
              <w:pStyle w:val="81"/>
              <w:spacing w:after="0"/>
              <w:ind w:left="100"/>
              <w:rPr>
                <w:rFonts w:eastAsia="宋体"/>
                <w:lang w:eastAsia="zh-CN"/>
              </w:rPr>
            </w:pPr>
            <w:r>
              <w:rPr>
                <w:rFonts w:hint="eastAsia" w:eastAsia="宋体"/>
                <w:lang w:eastAsia="zh-CN"/>
              </w:rPr>
              <w:t>According to 3GPP TS 23.501 [10], Indirect Network Sharing is supported as follow:</w:t>
            </w:r>
          </w:p>
          <w:p w14:paraId="301E495D">
            <w:pPr>
              <w:pStyle w:val="81"/>
              <w:spacing w:after="0"/>
              <w:ind w:left="100"/>
              <w:rPr>
                <w:rFonts w:eastAsia="宋体"/>
                <w:lang w:eastAsia="zh-CN"/>
              </w:rPr>
            </w:pPr>
            <w:r>
              <w:rPr>
                <w:rFonts w:hint="eastAsia" w:eastAsia="宋体"/>
                <w:lang w:eastAsia="zh-CN"/>
              </w:rPr>
              <w:tab/>
            </w:r>
            <w:r>
              <w:rPr>
                <w:rFonts w:hint="eastAsia" w:eastAsia="宋体"/>
                <w:lang w:eastAsia="zh-CN"/>
              </w:rPr>
              <w:t>"The communication between the shared RAN and the core network of the participating operator is routed through the core network of the hosting operator that connects to the shared RAN.".</w:t>
            </w:r>
          </w:p>
          <w:p w14:paraId="301E495E">
            <w:pPr>
              <w:pStyle w:val="81"/>
              <w:spacing w:after="0"/>
              <w:ind w:left="100"/>
              <w:rPr>
                <w:rFonts w:eastAsia="宋体"/>
                <w:lang w:eastAsia="zh-CN"/>
              </w:rPr>
            </w:pPr>
            <w:r>
              <w:rPr>
                <w:rFonts w:hint="eastAsia" w:eastAsia="宋体"/>
                <w:lang w:eastAsia="zh-CN"/>
              </w:rPr>
              <w:t>To achieve the management of Indirect Network Sharing, first communication between the shared RAN and the core network of each POP is supposed to support configuring, which means that the MOP should support configuring communication routing to POPs and POP should support configuring being routed from the MOP. Second, AMF of the MOP should allow to configure PLMN ID for each POP, and each POP should allow to configure the inter-plmn discovery.</w:t>
            </w:r>
          </w:p>
        </w:tc>
      </w:tr>
      <w:tr w14:paraId="301E4962">
        <w:tblPrEx>
          <w:tblCellMar>
            <w:top w:w="0" w:type="dxa"/>
            <w:left w:w="42" w:type="dxa"/>
            <w:bottom w:w="0" w:type="dxa"/>
            <w:right w:w="42" w:type="dxa"/>
          </w:tblCellMar>
        </w:tblPrEx>
        <w:tc>
          <w:tcPr>
            <w:tcW w:w="2694" w:type="dxa"/>
            <w:gridSpan w:val="2"/>
            <w:tcBorders>
              <w:left w:val="single" w:color="auto" w:sz="4" w:space="0"/>
            </w:tcBorders>
          </w:tcPr>
          <w:p w14:paraId="301E4960">
            <w:pPr>
              <w:pStyle w:val="81"/>
              <w:spacing w:after="0"/>
              <w:rPr>
                <w:b/>
                <w:i/>
                <w:sz w:val="8"/>
                <w:szCs w:val="8"/>
              </w:rPr>
            </w:pPr>
          </w:p>
        </w:tc>
        <w:tc>
          <w:tcPr>
            <w:tcW w:w="6946" w:type="dxa"/>
            <w:gridSpan w:val="9"/>
            <w:tcBorders>
              <w:right w:val="single" w:color="auto" w:sz="4" w:space="0"/>
            </w:tcBorders>
          </w:tcPr>
          <w:p w14:paraId="301E4961">
            <w:pPr>
              <w:pStyle w:val="81"/>
              <w:spacing w:after="0"/>
              <w:rPr>
                <w:sz w:val="8"/>
                <w:szCs w:val="8"/>
              </w:rPr>
            </w:pPr>
          </w:p>
        </w:tc>
      </w:tr>
      <w:tr w14:paraId="301E4965">
        <w:tblPrEx>
          <w:tblCellMar>
            <w:top w:w="0" w:type="dxa"/>
            <w:left w:w="42" w:type="dxa"/>
            <w:bottom w:w="0" w:type="dxa"/>
            <w:right w:w="42" w:type="dxa"/>
          </w:tblCellMar>
        </w:tblPrEx>
        <w:tc>
          <w:tcPr>
            <w:tcW w:w="2694" w:type="dxa"/>
            <w:gridSpan w:val="2"/>
            <w:tcBorders>
              <w:left w:val="single" w:color="auto" w:sz="4" w:space="0"/>
            </w:tcBorders>
          </w:tcPr>
          <w:p w14:paraId="301E4963">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01E4964">
            <w:pPr>
              <w:pStyle w:val="81"/>
              <w:spacing w:after="0"/>
              <w:ind w:left="100"/>
              <w:rPr>
                <w:rFonts w:eastAsia="宋体"/>
                <w:lang w:val="en-US" w:eastAsia="zh-CN"/>
              </w:rPr>
            </w:pPr>
            <w:r>
              <w:t xml:space="preserve">Add requirements for </w:t>
            </w:r>
            <w:r>
              <w:rPr>
                <w:rFonts w:hint="eastAsia" w:eastAsia="宋体"/>
                <w:lang w:val="en-US" w:eastAsia="zh-CN"/>
              </w:rPr>
              <w:t xml:space="preserve">RAN and CN </w:t>
            </w:r>
            <w:r>
              <w:t>Management of Indirect Network</w:t>
            </w:r>
            <w:r>
              <w:rPr>
                <w:rFonts w:hint="eastAsia" w:eastAsia="宋体"/>
                <w:lang w:eastAsia="zh-CN"/>
              </w:rPr>
              <w:t xml:space="preserve"> Sharing</w:t>
            </w:r>
            <w:r>
              <w:rPr>
                <w:rFonts w:hint="eastAsia" w:eastAsia="宋体"/>
                <w:lang w:val="en-US" w:eastAsia="zh-CN"/>
              </w:rPr>
              <w:t>.</w:t>
            </w:r>
          </w:p>
        </w:tc>
      </w:tr>
      <w:tr w14:paraId="301E4968">
        <w:tblPrEx>
          <w:tblCellMar>
            <w:top w:w="0" w:type="dxa"/>
            <w:left w:w="42" w:type="dxa"/>
            <w:bottom w:w="0" w:type="dxa"/>
            <w:right w:w="42" w:type="dxa"/>
          </w:tblCellMar>
        </w:tblPrEx>
        <w:tc>
          <w:tcPr>
            <w:tcW w:w="2694" w:type="dxa"/>
            <w:gridSpan w:val="2"/>
            <w:tcBorders>
              <w:left w:val="single" w:color="auto" w:sz="4" w:space="0"/>
            </w:tcBorders>
          </w:tcPr>
          <w:p w14:paraId="301E4966">
            <w:pPr>
              <w:pStyle w:val="81"/>
              <w:spacing w:after="0"/>
              <w:rPr>
                <w:b/>
                <w:i/>
                <w:sz w:val="8"/>
                <w:szCs w:val="8"/>
              </w:rPr>
            </w:pPr>
          </w:p>
        </w:tc>
        <w:tc>
          <w:tcPr>
            <w:tcW w:w="6946" w:type="dxa"/>
            <w:gridSpan w:val="9"/>
            <w:tcBorders>
              <w:right w:val="single" w:color="auto" w:sz="4" w:space="0"/>
            </w:tcBorders>
          </w:tcPr>
          <w:p w14:paraId="301E4967">
            <w:pPr>
              <w:pStyle w:val="81"/>
              <w:spacing w:after="0"/>
              <w:rPr>
                <w:sz w:val="8"/>
                <w:szCs w:val="8"/>
              </w:rPr>
            </w:pPr>
          </w:p>
        </w:tc>
      </w:tr>
      <w:tr w14:paraId="301E49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01E4969">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01E496A">
            <w:pPr>
              <w:pStyle w:val="81"/>
              <w:spacing w:after="0"/>
              <w:ind w:left="100"/>
              <w:rPr>
                <w:rFonts w:eastAsia="宋体"/>
                <w:lang w:eastAsia="zh-CN"/>
              </w:rPr>
            </w:pPr>
            <w:r>
              <w:rPr>
                <w:rFonts w:hint="eastAsia" w:eastAsia="宋体"/>
                <w:lang w:eastAsia="zh-CN"/>
              </w:rPr>
              <w:t xml:space="preserve">The 3GPP management system will </w:t>
            </w:r>
            <w:r>
              <w:rPr>
                <w:rFonts w:hint="eastAsia" w:eastAsia="宋体"/>
                <w:lang w:val="en-US" w:eastAsia="zh-CN"/>
              </w:rPr>
              <w:t>not support RAN and CN management of</w:t>
            </w:r>
            <w:r>
              <w:rPr>
                <w:rFonts w:hint="eastAsia" w:eastAsia="宋体"/>
                <w:lang w:eastAsia="zh-CN"/>
              </w:rPr>
              <w:t xml:space="preserve"> the Indirect Network Sharing scenario.</w:t>
            </w:r>
          </w:p>
        </w:tc>
      </w:tr>
      <w:tr w14:paraId="301E496E">
        <w:tblPrEx>
          <w:tblCellMar>
            <w:top w:w="0" w:type="dxa"/>
            <w:left w:w="42" w:type="dxa"/>
            <w:bottom w:w="0" w:type="dxa"/>
            <w:right w:w="42" w:type="dxa"/>
          </w:tblCellMar>
        </w:tblPrEx>
        <w:tc>
          <w:tcPr>
            <w:tcW w:w="2694" w:type="dxa"/>
            <w:gridSpan w:val="2"/>
          </w:tcPr>
          <w:p w14:paraId="301E496C">
            <w:pPr>
              <w:pStyle w:val="81"/>
              <w:spacing w:after="0"/>
              <w:rPr>
                <w:b/>
                <w:i/>
                <w:sz w:val="8"/>
                <w:szCs w:val="8"/>
              </w:rPr>
            </w:pPr>
          </w:p>
        </w:tc>
        <w:tc>
          <w:tcPr>
            <w:tcW w:w="6946" w:type="dxa"/>
            <w:gridSpan w:val="9"/>
          </w:tcPr>
          <w:p w14:paraId="301E496D">
            <w:pPr>
              <w:pStyle w:val="81"/>
              <w:spacing w:after="0"/>
              <w:rPr>
                <w:sz w:val="8"/>
                <w:szCs w:val="8"/>
              </w:rPr>
            </w:pPr>
          </w:p>
        </w:tc>
      </w:tr>
      <w:tr w14:paraId="301E497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01E496F">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01E4970">
            <w:pPr>
              <w:pStyle w:val="81"/>
              <w:spacing w:after="0"/>
              <w:ind w:left="100"/>
              <w:rPr>
                <w:rFonts w:eastAsia="宋体"/>
                <w:lang w:val="en-US" w:eastAsia="zh-CN"/>
              </w:rPr>
            </w:pPr>
            <w:r>
              <w:rPr>
                <w:rFonts w:hint="eastAsia" w:eastAsia="宋体"/>
                <w:lang w:val="en-US" w:eastAsia="zh-CN"/>
              </w:rPr>
              <w:t>5.1</w:t>
            </w:r>
          </w:p>
        </w:tc>
      </w:tr>
      <w:tr w14:paraId="301E4974">
        <w:tblPrEx>
          <w:tblCellMar>
            <w:top w:w="0" w:type="dxa"/>
            <w:left w:w="42" w:type="dxa"/>
            <w:bottom w:w="0" w:type="dxa"/>
            <w:right w:w="42" w:type="dxa"/>
          </w:tblCellMar>
        </w:tblPrEx>
        <w:tc>
          <w:tcPr>
            <w:tcW w:w="2694" w:type="dxa"/>
            <w:gridSpan w:val="2"/>
            <w:tcBorders>
              <w:left w:val="single" w:color="auto" w:sz="4" w:space="0"/>
            </w:tcBorders>
          </w:tcPr>
          <w:p w14:paraId="301E4972">
            <w:pPr>
              <w:pStyle w:val="81"/>
              <w:spacing w:after="0"/>
              <w:rPr>
                <w:b/>
                <w:i/>
                <w:sz w:val="8"/>
                <w:szCs w:val="8"/>
              </w:rPr>
            </w:pPr>
          </w:p>
        </w:tc>
        <w:tc>
          <w:tcPr>
            <w:tcW w:w="6946" w:type="dxa"/>
            <w:gridSpan w:val="9"/>
            <w:tcBorders>
              <w:right w:val="single" w:color="auto" w:sz="4" w:space="0"/>
            </w:tcBorders>
          </w:tcPr>
          <w:p w14:paraId="301E4973">
            <w:pPr>
              <w:pStyle w:val="81"/>
              <w:spacing w:after="0"/>
              <w:rPr>
                <w:sz w:val="8"/>
                <w:szCs w:val="8"/>
              </w:rPr>
            </w:pPr>
          </w:p>
        </w:tc>
      </w:tr>
      <w:tr w14:paraId="301E497A">
        <w:tblPrEx>
          <w:tblCellMar>
            <w:top w:w="0" w:type="dxa"/>
            <w:left w:w="42" w:type="dxa"/>
            <w:bottom w:w="0" w:type="dxa"/>
            <w:right w:w="42" w:type="dxa"/>
          </w:tblCellMar>
        </w:tblPrEx>
        <w:tc>
          <w:tcPr>
            <w:tcW w:w="2694" w:type="dxa"/>
            <w:gridSpan w:val="2"/>
            <w:tcBorders>
              <w:left w:val="single" w:color="auto" w:sz="4" w:space="0"/>
            </w:tcBorders>
          </w:tcPr>
          <w:p w14:paraId="301E497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301E4976">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01E4977">
            <w:pPr>
              <w:pStyle w:val="81"/>
              <w:spacing w:after="0"/>
              <w:jc w:val="center"/>
              <w:rPr>
                <w:b/>
                <w:caps/>
              </w:rPr>
            </w:pPr>
            <w:r>
              <w:rPr>
                <w:b/>
                <w:caps/>
              </w:rPr>
              <w:t>N</w:t>
            </w:r>
          </w:p>
        </w:tc>
        <w:tc>
          <w:tcPr>
            <w:tcW w:w="2977" w:type="dxa"/>
            <w:gridSpan w:val="4"/>
          </w:tcPr>
          <w:p w14:paraId="301E4978">
            <w:pPr>
              <w:pStyle w:val="81"/>
              <w:tabs>
                <w:tab w:val="right" w:pos="2893"/>
              </w:tabs>
              <w:spacing w:after="0"/>
            </w:pPr>
          </w:p>
        </w:tc>
        <w:tc>
          <w:tcPr>
            <w:tcW w:w="3401" w:type="dxa"/>
            <w:gridSpan w:val="3"/>
            <w:tcBorders>
              <w:right w:val="single" w:color="auto" w:sz="4" w:space="0"/>
            </w:tcBorders>
            <w:shd w:val="clear" w:color="FFFF00" w:fill="auto"/>
          </w:tcPr>
          <w:p w14:paraId="301E4979">
            <w:pPr>
              <w:pStyle w:val="81"/>
              <w:spacing w:after="0"/>
              <w:ind w:left="99"/>
            </w:pPr>
          </w:p>
        </w:tc>
      </w:tr>
      <w:tr w14:paraId="301E4980">
        <w:tblPrEx>
          <w:tblCellMar>
            <w:top w:w="0" w:type="dxa"/>
            <w:left w:w="42" w:type="dxa"/>
            <w:bottom w:w="0" w:type="dxa"/>
            <w:right w:w="42" w:type="dxa"/>
          </w:tblCellMar>
        </w:tblPrEx>
        <w:tc>
          <w:tcPr>
            <w:tcW w:w="2694" w:type="dxa"/>
            <w:gridSpan w:val="2"/>
            <w:tcBorders>
              <w:left w:val="single" w:color="auto" w:sz="4" w:space="0"/>
            </w:tcBorders>
          </w:tcPr>
          <w:p w14:paraId="301E497B">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01E497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01E497D">
            <w:pPr>
              <w:pStyle w:val="81"/>
              <w:spacing w:after="0"/>
              <w:jc w:val="center"/>
              <w:rPr>
                <w:rFonts w:eastAsia="宋体"/>
                <w:b/>
                <w:caps/>
                <w:lang w:eastAsia="zh-CN"/>
              </w:rPr>
            </w:pPr>
            <w:r>
              <w:rPr>
                <w:rFonts w:hint="eastAsia" w:eastAsia="宋体"/>
                <w:b/>
                <w:caps/>
                <w:lang w:eastAsia="zh-CN"/>
              </w:rPr>
              <w:t>X</w:t>
            </w:r>
          </w:p>
        </w:tc>
        <w:tc>
          <w:tcPr>
            <w:tcW w:w="2977" w:type="dxa"/>
            <w:gridSpan w:val="4"/>
          </w:tcPr>
          <w:p w14:paraId="301E497E">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1E497F">
            <w:pPr>
              <w:pStyle w:val="81"/>
              <w:spacing w:after="0"/>
              <w:ind w:left="99"/>
            </w:pPr>
            <w:r>
              <w:t xml:space="preserve">TS/TR ... CR ... </w:t>
            </w:r>
          </w:p>
        </w:tc>
      </w:tr>
      <w:tr w14:paraId="301E4986">
        <w:tblPrEx>
          <w:tblCellMar>
            <w:top w:w="0" w:type="dxa"/>
            <w:left w:w="42" w:type="dxa"/>
            <w:bottom w:w="0" w:type="dxa"/>
            <w:right w:w="42" w:type="dxa"/>
          </w:tblCellMar>
        </w:tblPrEx>
        <w:tc>
          <w:tcPr>
            <w:tcW w:w="2694" w:type="dxa"/>
            <w:gridSpan w:val="2"/>
            <w:tcBorders>
              <w:left w:val="single" w:color="auto" w:sz="4" w:space="0"/>
            </w:tcBorders>
          </w:tcPr>
          <w:p w14:paraId="301E4981">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01E498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01E4983">
            <w:pPr>
              <w:pStyle w:val="81"/>
              <w:spacing w:after="0"/>
              <w:jc w:val="center"/>
              <w:rPr>
                <w:rFonts w:eastAsia="宋体"/>
                <w:b/>
                <w:caps/>
                <w:lang w:eastAsia="zh-CN"/>
              </w:rPr>
            </w:pPr>
            <w:r>
              <w:rPr>
                <w:rFonts w:hint="eastAsia" w:eastAsia="宋体"/>
                <w:b/>
                <w:caps/>
                <w:lang w:eastAsia="zh-CN"/>
              </w:rPr>
              <w:t>X</w:t>
            </w:r>
          </w:p>
        </w:tc>
        <w:tc>
          <w:tcPr>
            <w:tcW w:w="2977" w:type="dxa"/>
            <w:gridSpan w:val="4"/>
          </w:tcPr>
          <w:p w14:paraId="301E4984">
            <w:pPr>
              <w:pStyle w:val="81"/>
              <w:spacing w:after="0"/>
            </w:pPr>
            <w:r>
              <w:t xml:space="preserve"> Test specifications</w:t>
            </w:r>
          </w:p>
        </w:tc>
        <w:tc>
          <w:tcPr>
            <w:tcW w:w="3401" w:type="dxa"/>
            <w:gridSpan w:val="3"/>
            <w:tcBorders>
              <w:right w:val="single" w:color="auto" w:sz="4" w:space="0"/>
            </w:tcBorders>
            <w:shd w:val="pct30" w:color="FFFF00" w:fill="auto"/>
          </w:tcPr>
          <w:p w14:paraId="301E4985">
            <w:pPr>
              <w:pStyle w:val="81"/>
              <w:spacing w:after="0"/>
              <w:ind w:left="99"/>
            </w:pPr>
            <w:r>
              <w:t xml:space="preserve">TS/TR ... CR ... </w:t>
            </w:r>
          </w:p>
        </w:tc>
      </w:tr>
      <w:tr w14:paraId="301E498C">
        <w:tblPrEx>
          <w:tblCellMar>
            <w:top w:w="0" w:type="dxa"/>
            <w:left w:w="42" w:type="dxa"/>
            <w:bottom w:w="0" w:type="dxa"/>
            <w:right w:w="42" w:type="dxa"/>
          </w:tblCellMar>
        </w:tblPrEx>
        <w:tc>
          <w:tcPr>
            <w:tcW w:w="2694" w:type="dxa"/>
            <w:gridSpan w:val="2"/>
            <w:tcBorders>
              <w:left w:val="single" w:color="auto" w:sz="4" w:space="0"/>
            </w:tcBorders>
          </w:tcPr>
          <w:p w14:paraId="301E4987">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01E4988">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01E4989">
            <w:pPr>
              <w:pStyle w:val="81"/>
              <w:spacing w:after="0"/>
              <w:jc w:val="center"/>
              <w:rPr>
                <w:rFonts w:eastAsia="宋体"/>
                <w:b/>
                <w:caps/>
                <w:lang w:eastAsia="zh-CN"/>
              </w:rPr>
            </w:pPr>
            <w:r>
              <w:rPr>
                <w:rFonts w:hint="eastAsia" w:eastAsia="宋体"/>
                <w:b/>
                <w:caps/>
                <w:lang w:eastAsia="zh-CN"/>
              </w:rPr>
              <w:t>X</w:t>
            </w:r>
          </w:p>
        </w:tc>
        <w:tc>
          <w:tcPr>
            <w:tcW w:w="2977" w:type="dxa"/>
            <w:gridSpan w:val="4"/>
          </w:tcPr>
          <w:p w14:paraId="301E498A">
            <w:pPr>
              <w:pStyle w:val="81"/>
              <w:spacing w:after="0"/>
            </w:pPr>
            <w:r>
              <w:t xml:space="preserve"> O&amp;M Specifications</w:t>
            </w:r>
          </w:p>
        </w:tc>
        <w:tc>
          <w:tcPr>
            <w:tcW w:w="3401" w:type="dxa"/>
            <w:gridSpan w:val="3"/>
            <w:tcBorders>
              <w:right w:val="single" w:color="auto" w:sz="4" w:space="0"/>
            </w:tcBorders>
            <w:shd w:val="pct30" w:color="FFFF00" w:fill="auto"/>
          </w:tcPr>
          <w:p w14:paraId="301E498B">
            <w:pPr>
              <w:pStyle w:val="81"/>
              <w:spacing w:after="0"/>
              <w:ind w:left="99"/>
            </w:pPr>
            <w:r>
              <w:t xml:space="preserve">TS/TR ... CR ... </w:t>
            </w:r>
          </w:p>
        </w:tc>
      </w:tr>
      <w:tr w14:paraId="301E498F">
        <w:tblPrEx>
          <w:tblCellMar>
            <w:top w:w="0" w:type="dxa"/>
            <w:left w:w="42" w:type="dxa"/>
            <w:bottom w:w="0" w:type="dxa"/>
            <w:right w:w="42" w:type="dxa"/>
          </w:tblCellMar>
        </w:tblPrEx>
        <w:tc>
          <w:tcPr>
            <w:tcW w:w="2694" w:type="dxa"/>
            <w:gridSpan w:val="2"/>
            <w:tcBorders>
              <w:left w:val="single" w:color="auto" w:sz="4" w:space="0"/>
            </w:tcBorders>
          </w:tcPr>
          <w:p w14:paraId="301E498D">
            <w:pPr>
              <w:pStyle w:val="81"/>
              <w:spacing w:after="0"/>
              <w:rPr>
                <w:b/>
                <w:i/>
              </w:rPr>
            </w:pPr>
          </w:p>
        </w:tc>
        <w:tc>
          <w:tcPr>
            <w:tcW w:w="6946" w:type="dxa"/>
            <w:gridSpan w:val="9"/>
            <w:tcBorders>
              <w:right w:val="single" w:color="auto" w:sz="4" w:space="0"/>
            </w:tcBorders>
          </w:tcPr>
          <w:p w14:paraId="301E498E">
            <w:pPr>
              <w:pStyle w:val="81"/>
              <w:spacing w:after="0"/>
            </w:pPr>
          </w:p>
        </w:tc>
      </w:tr>
      <w:tr w14:paraId="301E499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01E4990">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01E4991">
            <w:pPr>
              <w:pStyle w:val="81"/>
              <w:spacing w:after="0"/>
              <w:ind w:left="100"/>
            </w:pPr>
          </w:p>
        </w:tc>
      </w:tr>
      <w:tr w14:paraId="301E499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01E4993">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01E4994">
            <w:pPr>
              <w:pStyle w:val="81"/>
              <w:spacing w:after="0"/>
              <w:ind w:left="100"/>
              <w:rPr>
                <w:sz w:val="8"/>
                <w:szCs w:val="8"/>
              </w:rPr>
            </w:pPr>
          </w:p>
        </w:tc>
      </w:tr>
      <w:tr w14:paraId="301E499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01E499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01E4997">
            <w:pPr>
              <w:pStyle w:val="81"/>
              <w:spacing w:after="0"/>
              <w:ind w:left="100"/>
            </w:pPr>
          </w:p>
        </w:tc>
      </w:tr>
    </w:tbl>
    <w:p w14:paraId="301E4999">
      <w:pPr>
        <w:pStyle w:val="81"/>
        <w:spacing w:after="0"/>
        <w:rPr>
          <w:sz w:val="8"/>
          <w:szCs w:val="8"/>
        </w:rPr>
      </w:pPr>
    </w:p>
    <w:p w14:paraId="1F20ADBC">
      <w:pPr>
        <w:sectPr>
          <w:headerReference r:id="rId4" w:type="even"/>
          <w:footnotePr>
            <w:numRestart w:val="eachSect"/>
          </w:footnotePr>
          <w:pgSz w:w="11907" w:h="16840"/>
          <w:pgMar w:top="1418" w:right="1134" w:bottom="1134" w:left="1134" w:header="680" w:footer="567" w:gutter="0"/>
          <w:cols w:space="720" w:num="1"/>
        </w:sectPr>
      </w:pPr>
    </w:p>
    <w:tbl>
      <w:tblPr>
        <w:tblStyle w:val="42"/>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14:paraId="301E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01E499B">
            <w:pPr>
              <w:jc w:val="center"/>
              <w:rPr>
                <w:rFonts w:ascii="Arial" w:hAnsi="Arial" w:cs="Arial"/>
                <w:b/>
                <w:bCs/>
                <w:sz w:val="28"/>
                <w:szCs w:val="28"/>
              </w:rPr>
            </w:pPr>
            <w:bookmarkStart w:id="1" w:name="OLE_LINK18"/>
            <w:bookmarkStart w:id="2" w:name="OLE_LINK20"/>
            <w:bookmarkStart w:id="3" w:name="OLE_LINK21"/>
            <w:bookmarkStart w:id="4" w:name="OLE_LINK19"/>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tbl>
    <w:p w14:paraId="301E499D">
      <w:pPr>
        <w:pStyle w:val="3"/>
        <w:rPr>
          <w:lang w:eastAsia="zh-CN"/>
        </w:rPr>
      </w:pPr>
      <w:bookmarkStart w:id="5" w:name="_Toc163142748"/>
      <w:r>
        <w:t>5.1</w:t>
      </w:r>
      <w:r>
        <w:tab/>
      </w:r>
      <w:r>
        <w:rPr>
          <w:rFonts w:hint="eastAsia"/>
          <w:lang w:eastAsia="zh-CN"/>
        </w:rPr>
        <w:t>Requirements</w:t>
      </w:r>
      <w:bookmarkEnd w:id="5"/>
    </w:p>
    <w:p w14:paraId="301E499E">
      <w:pPr>
        <w:pStyle w:val="4"/>
      </w:pPr>
      <w:bookmarkStart w:id="6" w:name="_Toc163142749"/>
      <w:r>
        <w:t>5.1.1</w:t>
      </w:r>
      <w:r>
        <w:tab/>
      </w:r>
      <w:r>
        <w:t>Requirements for the OAM&amp;P of shared RAN</w:t>
      </w:r>
      <w:bookmarkEnd w:id="6"/>
    </w:p>
    <w:p w14:paraId="301E499F">
      <w:pPr>
        <w:rPr>
          <w:lang w:eastAsia="zh-CN"/>
        </w:rPr>
      </w:pPr>
      <w:r>
        <w:rPr>
          <w:b/>
        </w:rPr>
        <w:t>REQ-NS</w:t>
      </w:r>
      <w:r>
        <w:rPr>
          <w:rFonts w:hint="eastAsia"/>
          <w:b/>
          <w:lang w:eastAsia="zh-CN"/>
        </w:rPr>
        <w:t>_</w:t>
      </w:r>
      <w:r>
        <w:rPr>
          <w:b/>
        </w:rPr>
        <w:t>GEN-CON-1</w:t>
      </w:r>
      <w:r>
        <w:rPr>
          <w:b/>
        </w:rPr>
        <w:tab/>
      </w:r>
      <w:r>
        <w:rPr>
          <w:b/>
        </w:rPr>
        <w:tab/>
      </w:r>
      <w:r>
        <w:rPr>
          <w:bCs/>
        </w:rPr>
        <w:t xml:space="preserve">The </w:t>
      </w:r>
      <w:r>
        <w:rPr>
          <w:b/>
          <w:bCs/>
        </w:rPr>
        <w:t>3GPP management system</w:t>
      </w:r>
      <w:r>
        <w:rPr>
          <w:bCs/>
        </w:rPr>
        <w:t xml:space="preserve"> of the MOP shall support a capability allowing its authorized consumer  to manage </w:t>
      </w:r>
      <w:r>
        <w:t>S-RAN</w:t>
      </w:r>
      <w:r>
        <w:rPr>
          <w:bCs/>
        </w:rPr>
        <w:t xml:space="preserve"> of any of the following </w:t>
      </w:r>
      <w:r>
        <w:rPr>
          <w:lang w:eastAsia="zh-CN"/>
        </w:rPr>
        <w:t>radio access technologies</w:t>
      </w:r>
      <w:r>
        <w:rPr>
          <w:bCs/>
        </w:rPr>
        <w:t>:</w:t>
      </w:r>
    </w:p>
    <w:p w14:paraId="301E49A0">
      <w:pPr>
        <w:pStyle w:val="75"/>
        <w:rPr>
          <w:lang w:eastAsia="zh-CN"/>
        </w:rPr>
      </w:pPr>
      <w:r>
        <w:rPr>
          <w:lang w:eastAsia="zh-CN"/>
        </w:rPr>
        <w:t>i/ GERAN;</w:t>
      </w:r>
    </w:p>
    <w:p w14:paraId="301E49A1">
      <w:pPr>
        <w:pStyle w:val="75"/>
        <w:rPr>
          <w:lang w:eastAsia="zh-CN"/>
        </w:rPr>
      </w:pPr>
      <w:r>
        <w:rPr>
          <w:lang w:eastAsia="zh-CN"/>
        </w:rPr>
        <w:t>ii/ UTRAN;</w:t>
      </w:r>
    </w:p>
    <w:p w14:paraId="301E49A2">
      <w:pPr>
        <w:pStyle w:val="75"/>
        <w:rPr>
          <w:lang w:eastAsia="zh-CN"/>
        </w:rPr>
      </w:pPr>
      <w:r>
        <w:rPr>
          <w:lang w:eastAsia="zh-CN"/>
        </w:rPr>
        <w:t>iii/ E-UTRAN;</w:t>
      </w:r>
    </w:p>
    <w:p w14:paraId="301E49A3">
      <w:pPr>
        <w:pStyle w:val="75"/>
        <w:rPr>
          <w:lang w:eastAsia="zh-CN"/>
        </w:rPr>
      </w:pPr>
      <w:r>
        <w:rPr>
          <w:lang w:eastAsia="zh-CN"/>
        </w:rPr>
        <w:t>iV/ NG-RAN.</w:t>
      </w:r>
    </w:p>
    <w:p w14:paraId="301E49A4">
      <w:pPr>
        <w:rPr>
          <w:lang w:eastAsia="zh-CN"/>
        </w:rPr>
      </w:pPr>
      <w:r>
        <w:rPr>
          <w:b/>
        </w:rPr>
        <w:t>REQ-NS</w:t>
      </w:r>
      <w:r>
        <w:rPr>
          <w:rFonts w:hint="eastAsia"/>
          <w:b/>
          <w:lang w:eastAsia="zh-CN"/>
        </w:rPr>
        <w:t>_</w:t>
      </w:r>
      <w:r>
        <w:rPr>
          <w:b/>
        </w:rPr>
        <w:t>GEN-CON-2</w:t>
      </w:r>
      <w:r>
        <w:rPr>
          <w:b/>
        </w:rPr>
        <w:tab/>
      </w:r>
      <w:r>
        <w:rPr>
          <w:b/>
        </w:rPr>
        <w:tab/>
      </w:r>
      <w:r>
        <w:rPr>
          <w:bCs/>
        </w:rPr>
        <w:t xml:space="preserve">The 3GPP management system of the MOP shall support a capability allowing its authorized consumer to manage </w:t>
      </w:r>
      <w:r>
        <w:t>S-RAN</w:t>
      </w:r>
      <w:r>
        <w:rPr>
          <w:bCs/>
        </w:rPr>
        <w:t xml:space="preserve"> according to any of the following scenarios</w:t>
      </w:r>
      <w:r>
        <w:rPr>
          <w:lang w:eastAsia="zh-CN"/>
        </w:rPr>
        <w:t>:</w:t>
      </w:r>
    </w:p>
    <w:p w14:paraId="301E49A5">
      <w:pPr>
        <w:pStyle w:val="75"/>
        <w:rPr>
          <w:lang w:eastAsia="zh-CN"/>
        </w:rPr>
      </w:pPr>
      <w:r>
        <w:rPr>
          <w:lang w:eastAsia="zh-CN"/>
        </w:rPr>
        <w:t>i/ Multi-Operator Core Network</w:t>
      </w:r>
    </w:p>
    <w:p w14:paraId="301E49A6">
      <w:pPr>
        <w:pStyle w:val="75"/>
        <w:rPr>
          <w:lang w:eastAsia="zh-CN"/>
        </w:rPr>
      </w:pPr>
      <w:r>
        <w:rPr>
          <w:lang w:eastAsia="zh-CN"/>
        </w:rPr>
        <w:t>ii/ Gateway Core Network.</w:t>
      </w:r>
    </w:p>
    <w:p w14:paraId="301E49A7">
      <w:r>
        <w:rPr>
          <w:b/>
        </w:rPr>
        <w:t>REQ-NS</w:t>
      </w:r>
      <w:r>
        <w:rPr>
          <w:rFonts w:hint="eastAsia"/>
          <w:b/>
          <w:lang w:eastAsia="zh-CN"/>
        </w:rPr>
        <w:t>_</w:t>
      </w:r>
      <w:r>
        <w:rPr>
          <w:b/>
        </w:rPr>
        <w:t>GEN-CON-3</w:t>
      </w:r>
      <w:r>
        <w:rPr>
          <w:b/>
        </w:rPr>
        <w:tab/>
      </w:r>
      <w:r>
        <w:rPr>
          <w:b/>
        </w:rPr>
        <w:tab/>
      </w:r>
      <w:r>
        <w:rPr>
          <w:lang w:eastAsia="zh-CN"/>
        </w:rPr>
        <w:t>The  3GPP management system of the MOP shall support a capability allowing its authorized consumer to know which POPs the shared resources belong to</w:t>
      </w:r>
      <w:r>
        <w:t>.</w:t>
      </w:r>
    </w:p>
    <w:p w14:paraId="301E49A8">
      <w:r>
        <w:rPr>
          <w:b/>
          <w:bCs/>
        </w:rPr>
        <w:t>REQ-NS_GEN-CON-4</w:t>
      </w:r>
      <w:r>
        <w:tab/>
      </w:r>
      <w:r>
        <w:tab/>
      </w:r>
      <w:r>
        <w:rPr>
          <w:lang w:eastAsia="zh-CN"/>
        </w:rPr>
        <w:t>The  3GPP management system of the MOP shall support a capability allowing its authorized consumer to configure which POPs share each cell</w:t>
      </w:r>
      <w:r>
        <w:t>.</w:t>
      </w:r>
    </w:p>
    <w:p w14:paraId="301E49A9">
      <w:r>
        <w:rPr>
          <w:b/>
          <w:bCs/>
        </w:rPr>
        <w:t>REQ-NS_GEN-CON-5</w:t>
      </w:r>
      <w:r>
        <w:rPr>
          <w:b/>
          <w:bCs/>
        </w:rPr>
        <w:tab/>
      </w:r>
      <w:r>
        <w:tab/>
      </w:r>
      <w:r>
        <w:t xml:space="preserve">Any POP shall be able to activate a signaling-based trace / MDT session on its subscribers, whether they are attached to the POP own RAN or to the </w:t>
      </w:r>
      <w:r>
        <w:rPr>
          <w:bCs/>
        </w:rPr>
        <w:t>S-RAN</w:t>
      </w:r>
      <w:r>
        <w:t>, provided:</w:t>
      </w:r>
    </w:p>
    <w:p w14:paraId="301E49AA">
      <w:pPr>
        <w:pStyle w:val="75"/>
      </w:pPr>
      <w:r>
        <w:t>a/ this is compliant with the RAN sharing contract; and</w:t>
      </w:r>
    </w:p>
    <w:p w14:paraId="301E49AB">
      <w:pPr>
        <w:pStyle w:val="75"/>
      </w:pPr>
      <w:r>
        <w:t>b/ user consent for participation in MDT is respected.</w:t>
      </w:r>
    </w:p>
    <w:p w14:paraId="301E49AC">
      <w:r>
        <w:rPr>
          <w:b/>
          <w:bCs/>
        </w:rPr>
        <w:t>REQ-NS_GEN-CON-6</w:t>
      </w:r>
      <w:r>
        <w:tab/>
      </w:r>
      <w:r>
        <w:tab/>
      </w:r>
      <w:r>
        <w:t xml:space="preserve">The MOP shall be able, on behalf of any POP, to activate an area-based trace / MDT session, on the portion of the </w:t>
      </w:r>
      <w:r>
        <w:rPr>
          <w:bCs/>
        </w:rPr>
        <w:t>S-RAN</w:t>
      </w:r>
      <w:r>
        <w:t xml:space="preserve"> that the POP shares and on the POP subscribers only, from the 3GPP management system of MOP, provided </w:t>
      </w:r>
    </w:p>
    <w:p w14:paraId="301E49AD">
      <w:pPr>
        <w:pStyle w:val="75"/>
      </w:pPr>
      <w:r>
        <w:t xml:space="preserve">a/ only the POP related subscriber data are collected; </w:t>
      </w:r>
    </w:p>
    <w:p w14:paraId="301E49AE">
      <w:pPr>
        <w:pStyle w:val="75"/>
      </w:pPr>
      <w:r>
        <w:t xml:space="preserve">b/ this is compliant with the RAN sharing contract; and </w:t>
      </w:r>
    </w:p>
    <w:p w14:paraId="301E49AF">
      <w:pPr>
        <w:pStyle w:val="75"/>
      </w:pPr>
      <w:r>
        <w:t>c/ user consent for participation in MDT is respected.</w:t>
      </w:r>
    </w:p>
    <w:p w14:paraId="301E49B0">
      <w:r>
        <w:rPr>
          <w:b/>
          <w:bCs/>
        </w:rPr>
        <w:t>REQ-NS_GEN-CON-7</w:t>
      </w:r>
      <w:r>
        <w:rPr>
          <w:b/>
          <w:bCs/>
        </w:rPr>
        <w:tab/>
      </w:r>
      <w:r>
        <w:tab/>
      </w:r>
      <w:r>
        <w:t xml:space="preserve">The MOP shall be able, on behalf of multiple POPs, to activate an area-based trace / MDT session, on the portion of the </w:t>
      </w:r>
      <w:r>
        <w:rPr>
          <w:bCs/>
        </w:rPr>
        <w:t>S-RAN</w:t>
      </w:r>
      <w:r>
        <w:t xml:space="preserve"> that each POP shares and on each POP subscribers only, from the 3GPP management system of MOP, provided: </w:t>
      </w:r>
    </w:p>
    <w:p w14:paraId="301E49B1">
      <w:pPr>
        <w:pStyle w:val="75"/>
      </w:pPr>
      <w:r>
        <w:t>a/ each POP has access only to its subscriber data (i.e. not to other POPs' subscriber data);</w:t>
      </w:r>
    </w:p>
    <w:p w14:paraId="301E49B2">
      <w:pPr>
        <w:pStyle w:val="75"/>
      </w:pPr>
      <w:r>
        <w:t xml:space="preserve">b/ this is compliant with the RAN sharing contract; and </w:t>
      </w:r>
    </w:p>
    <w:p w14:paraId="301E49B3">
      <w:pPr>
        <w:pStyle w:val="75"/>
      </w:pPr>
      <w:r>
        <w:t>c/ user consent for participation in MDT is respected.</w:t>
      </w:r>
    </w:p>
    <w:p w14:paraId="301E49B4">
      <w:pPr>
        <w:pStyle w:val="4"/>
      </w:pPr>
      <w:bookmarkStart w:id="7" w:name="_Toc163142750"/>
      <w:r>
        <w:t>5.1.2</w:t>
      </w:r>
      <w:r>
        <w:tab/>
      </w:r>
      <w:r>
        <w:t>Requirements for the OA&amp;M of shared core network elements</w:t>
      </w:r>
      <w:bookmarkEnd w:id="7"/>
    </w:p>
    <w:p w14:paraId="301E49B5">
      <w:pPr>
        <w:rPr>
          <w:lang w:eastAsia="zh-CN"/>
        </w:rPr>
      </w:pPr>
      <w:r>
        <w:rPr>
          <w:b/>
        </w:rPr>
        <w:t>REQ-NS</w:t>
      </w:r>
      <w:r>
        <w:rPr>
          <w:rFonts w:hint="eastAsia"/>
          <w:b/>
          <w:lang w:eastAsia="zh-CN"/>
        </w:rPr>
        <w:t>_</w:t>
      </w:r>
      <w:r>
        <w:rPr>
          <w:b/>
        </w:rPr>
        <w:t>GEN-CON-8</w:t>
      </w:r>
      <w:r>
        <w:rPr>
          <w:b/>
        </w:rPr>
        <w:tab/>
      </w:r>
      <w:r>
        <w:rPr>
          <w:b/>
        </w:rPr>
        <w:tab/>
      </w:r>
      <w:r>
        <w:rPr>
          <w:b/>
        </w:rPr>
        <w:tab/>
      </w:r>
      <w:r>
        <w:t>In the</w:t>
      </w:r>
      <w:r>
        <w:rPr>
          <w:b/>
        </w:rPr>
        <w:t xml:space="preserve"> </w:t>
      </w:r>
      <w:r>
        <w:t>GWCN</w:t>
      </w:r>
      <w:r>
        <w:rPr>
          <w:b/>
        </w:rPr>
        <w:t xml:space="preserve"> </w:t>
      </w:r>
      <w:r>
        <w:t>scenario, t</w:t>
      </w:r>
      <w:r>
        <w:rPr>
          <w:bCs/>
        </w:rPr>
        <w:t xml:space="preserve">he MOP shall be able to manage </w:t>
      </w:r>
      <w:r>
        <w:rPr>
          <w:b/>
          <w:bCs/>
        </w:rPr>
        <w:t>S-CORE</w:t>
      </w:r>
      <w:r>
        <w:rPr>
          <w:lang w:eastAsia="zh-CN"/>
        </w:rPr>
        <w:t>.</w:t>
      </w:r>
    </w:p>
    <w:p w14:paraId="301E49B6">
      <w:r>
        <w:rPr>
          <w:b/>
        </w:rPr>
        <w:t>REQ-NS</w:t>
      </w:r>
      <w:r>
        <w:rPr>
          <w:rFonts w:hint="eastAsia"/>
          <w:b/>
          <w:lang w:eastAsia="zh-CN"/>
        </w:rPr>
        <w:t>_</w:t>
      </w:r>
      <w:r>
        <w:rPr>
          <w:b/>
        </w:rPr>
        <w:t>GEN-CON-9</w:t>
      </w:r>
      <w:r>
        <w:rPr>
          <w:b/>
        </w:rPr>
        <w:tab/>
      </w:r>
      <w:r>
        <w:rPr>
          <w:b/>
        </w:rPr>
        <w:tab/>
      </w:r>
      <w:r>
        <w:rPr>
          <w:b/>
        </w:rPr>
        <w:tab/>
      </w:r>
      <w:r>
        <w:rPr>
          <w:lang w:eastAsia="zh-CN"/>
        </w:rPr>
        <w:t>The MOP shall be able to know which POPs the shared core network elements belong to</w:t>
      </w:r>
      <w:r>
        <w:t>.</w:t>
      </w:r>
    </w:p>
    <w:p w14:paraId="301E49B7">
      <w:r>
        <w:rPr>
          <w:b/>
          <w:bCs/>
        </w:rPr>
        <w:t>REQ-NS_GEN-CON-10</w:t>
      </w:r>
      <w:r>
        <w:tab/>
      </w:r>
      <w:r>
        <w:tab/>
      </w:r>
      <w:r>
        <w:rPr>
          <w:lang w:eastAsia="zh-CN"/>
        </w:rPr>
        <w:t>The MOP shall be able to configure which POPs share each core network element</w:t>
      </w:r>
      <w:r>
        <w:t>.</w:t>
      </w:r>
    </w:p>
    <w:p w14:paraId="301E49B8">
      <w:pPr>
        <w:pStyle w:val="4"/>
      </w:pPr>
      <w:bookmarkStart w:id="8" w:name="_Toc163142751"/>
      <w:r>
        <w:t>5.1.3</w:t>
      </w:r>
      <w:r>
        <w:tab/>
      </w:r>
      <w:r>
        <w:t>Requirements for the management of measurements for cross-operator accounting based on data volume and QoS</w:t>
      </w:r>
      <w:bookmarkEnd w:id="8"/>
    </w:p>
    <w:p w14:paraId="301E49B9">
      <w:r>
        <w:rPr>
          <w:b/>
        </w:rPr>
        <w:t>REQ</w:t>
      </w:r>
      <w:r>
        <w:rPr>
          <w:b/>
          <w:lang w:eastAsia="zh-CN"/>
        </w:rPr>
        <w:t>-NS_PM-</w:t>
      </w:r>
      <w:r>
        <w:rPr>
          <w:b/>
        </w:rPr>
        <w:t>CON</w:t>
      </w:r>
      <w:r>
        <w:rPr>
          <w:b/>
          <w:lang w:eastAsia="zh-CN"/>
        </w:rPr>
        <w:t>-</w:t>
      </w:r>
      <w:r>
        <w:rPr>
          <w:b/>
          <w:lang w:val="en-US" w:eastAsia="zh-CN"/>
        </w:rPr>
        <w:t>1</w:t>
      </w:r>
      <w:r>
        <w:rPr>
          <w:lang w:eastAsia="zh-CN"/>
        </w:rPr>
        <w:tab/>
      </w:r>
      <w:r>
        <w:rPr>
          <w:lang w:eastAsia="zh-CN"/>
        </w:rPr>
        <w:t>The MOP</w:t>
      </w:r>
      <w:r>
        <w:t xml:space="preserve"> sh</w:t>
      </w:r>
      <w:r>
        <w:rPr>
          <w:lang w:eastAsia="zh-CN"/>
        </w:rPr>
        <w:t>all</w:t>
      </w:r>
      <w:r>
        <w:t xml:space="preserve"> be able to charge the POPs for the data volume used by POP’s users per selected QoS profile criteria via measurements defined for shared networks.</w:t>
      </w:r>
    </w:p>
    <w:p w14:paraId="301E49BA">
      <w:pPr>
        <w:pStyle w:val="75"/>
      </w:pPr>
      <w:r>
        <w:t>-</w:t>
      </w:r>
      <w:r>
        <w:tab/>
      </w:r>
      <w:r>
        <w:t>The QoS profile criteria may include QCI Indicator, GBR Indicator, ARP Indicator.</w:t>
      </w:r>
    </w:p>
    <w:p w14:paraId="301E49BB">
      <w:pPr>
        <w:pStyle w:val="75"/>
      </w:pPr>
      <w:r>
        <w:t>-</w:t>
      </w:r>
      <w:r>
        <w:tab/>
      </w:r>
      <w:r>
        <w:t>It shall be possible to differentiate between DL and UL.</w:t>
      </w:r>
    </w:p>
    <w:p w14:paraId="301E49BC">
      <w:pPr>
        <w:rPr>
          <w:b/>
        </w:rPr>
      </w:pPr>
      <w:r>
        <w:rPr>
          <w:b/>
        </w:rPr>
        <w:t>REQ</w:t>
      </w:r>
      <w:r>
        <w:rPr>
          <w:b/>
          <w:lang w:eastAsia="zh-CN"/>
        </w:rPr>
        <w:t>-NS_PM-</w:t>
      </w:r>
      <w:r>
        <w:rPr>
          <w:b/>
        </w:rPr>
        <w:t>CON</w:t>
      </w:r>
      <w:r>
        <w:rPr>
          <w:b/>
          <w:lang w:eastAsia="zh-CN"/>
        </w:rPr>
        <w:t>-</w:t>
      </w:r>
      <w:r>
        <w:rPr>
          <w:b/>
          <w:lang w:val="en-US" w:eastAsia="zh-CN"/>
        </w:rPr>
        <w:t>2</w:t>
      </w:r>
      <w:r>
        <w:rPr>
          <w:lang w:eastAsia="zh-CN"/>
        </w:rPr>
        <w:tab/>
      </w:r>
      <w:r>
        <w:rPr>
          <w:lang w:eastAsia="zh-CN"/>
        </w:rPr>
        <w:t xml:space="preserve">The MOP shall be able to set the reliability for the selected measurements defined </w:t>
      </w:r>
      <w:r>
        <w:t>for cross operator accounting purpose in shared networks</w:t>
      </w:r>
      <w:r>
        <w:rPr>
          <w:lang w:eastAsia="zh-CN"/>
        </w:rPr>
        <w:t>.</w:t>
      </w:r>
    </w:p>
    <w:p w14:paraId="301E49BD">
      <w:r>
        <w:rPr>
          <w:b/>
        </w:rPr>
        <w:t>REQ</w:t>
      </w:r>
      <w:r>
        <w:rPr>
          <w:b/>
          <w:lang w:eastAsia="zh-CN"/>
        </w:rPr>
        <w:t>-NS_PM-</w:t>
      </w:r>
      <w:r>
        <w:rPr>
          <w:b/>
        </w:rPr>
        <w:t>CON</w:t>
      </w:r>
      <w:r>
        <w:rPr>
          <w:b/>
          <w:lang w:eastAsia="zh-CN"/>
        </w:rPr>
        <w:t>-</w:t>
      </w:r>
      <w:r>
        <w:rPr>
          <w:b/>
          <w:lang w:val="en-US" w:eastAsia="zh-CN"/>
        </w:rPr>
        <w:t>3</w:t>
      </w:r>
      <w:r>
        <w:rPr>
          <w:lang w:eastAsia="zh-CN"/>
        </w:rPr>
        <w:tab/>
      </w:r>
      <w:r>
        <w:rPr>
          <w:lang w:eastAsia="zh-CN"/>
        </w:rPr>
        <w:t xml:space="preserve">A maximum </w:t>
      </w:r>
      <w:r>
        <w:t xml:space="preserve">number of 200 counter instances (for measurements </w:t>
      </w:r>
      <w:r>
        <w:rPr>
          <w:lang w:eastAsia="zh-CN"/>
        </w:rPr>
        <w:t xml:space="preserve">defined </w:t>
      </w:r>
      <w:r>
        <w:t>for cross operator accounting purpose in shared networks) can be recorded per granularity period.</w:t>
      </w:r>
    </w:p>
    <w:p w14:paraId="301E49BE">
      <w:pPr>
        <w:pStyle w:val="4"/>
      </w:pPr>
      <w:bookmarkStart w:id="9" w:name="_Toc163142752"/>
      <w:bookmarkStart w:id="10" w:name="OLE_LINK10"/>
      <w:r>
        <w:t>5.1.4</w:t>
      </w:r>
      <w:r>
        <w:tab/>
      </w:r>
      <w:r>
        <w:t>Requirements for management support for NG-RAN MOCN network sharing scenario with same Cell Identity broadcast</w:t>
      </w:r>
      <w:bookmarkEnd w:id="9"/>
    </w:p>
    <w:bookmarkEnd w:id="10"/>
    <w:p w14:paraId="301E49BF">
      <w:pPr>
        <w:jc w:val="both"/>
        <w:rPr>
          <w:lang w:eastAsia="zh-CN"/>
        </w:rPr>
      </w:pPr>
      <w:r>
        <w:rPr>
          <w:b/>
          <w:lang w:eastAsia="zh-CN"/>
        </w:rPr>
        <w:t>Req-MOCN_SameCellId_Cfg-CON-1</w:t>
      </w:r>
      <w:r>
        <w:rPr>
          <w:lang w:eastAsia="zh-CN"/>
        </w:rPr>
        <w:t xml:space="preserve"> The 3GPP management system of the MOP shall have the capability to configure NgC and NgU individually for each POP.</w:t>
      </w:r>
    </w:p>
    <w:p w14:paraId="301E49C0">
      <w:pPr>
        <w:jc w:val="both"/>
        <w:rPr>
          <w:lang w:eastAsia="zh-CN"/>
        </w:rPr>
      </w:pPr>
      <w:r>
        <w:rPr>
          <w:b/>
          <w:lang w:eastAsia="zh-CN"/>
        </w:rPr>
        <w:t>Req- MOCN_SameCellId_Cfg-CON-2</w:t>
      </w:r>
      <w:r>
        <w:rPr>
          <w:lang w:eastAsia="zh-CN"/>
        </w:rPr>
        <w:t xml:space="preserve"> The 3GPP management system of the MOP shall have the capability to configure PLMNId individually for each POP.</w:t>
      </w:r>
    </w:p>
    <w:p w14:paraId="301E49C1">
      <w:pPr>
        <w:rPr>
          <w:lang w:eastAsia="zh-CN"/>
        </w:rPr>
      </w:pPr>
      <w:r>
        <w:rPr>
          <w:b/>
          <w:lang w:eastAsia="zh-CN"/>
        </w:rPr>
        <w:t>Req- MOCN_SameCellId_Per-CON-3</w:t>
      </w:r>
      <w:r>
        <w:rPr>
          <w:lang w:eastAsia="zh-CN"/>
        </w:rPr>
        <w:t xml:space="preserve"> The 3GPP management system of the MOP shall have the capability to collect and report some measurements (e.g. active UEs measurements, packet delay measurements) in PLMN granularity for each POP.</w:t>
      </w:r>
    </w:p>
    <w:p w14:paraId="301E49C2">
      <w:pPr>
        <w:rPr>
          <w:lang w:val="en-US" w:eastAsia="zh-CN"/>
        </w:rPr>
      </w:pPr>
      <w:r>
        <w:rPr>
          <w:b/>
          <w:lang w:eastAsia="zh-CN"/>
        </w:rPr>
        <w:t>Req-MOCN-SameCellId-Cfg-CON-</w:t>
      </w:r>
      <w:r>
        <w:rPr>
          <w:b/>
          <w:lang w:val="en-US" w:eastAsia="zh-CN"/>
        </w:rPr>
        <w:t>4</w:t>
      </w:r>
      <w:r>
        <w:rPr>
          <w:rFonts w:hint="eastAsia"/>
          <w:lang w:val="en-US" w:eastAsia="zh-CN"/>
        </w:rPr>
        <w:t xml:space="preserve"> The 3GPP management system of the MOP shall have </w:t>
      </w:r>
      <w:r>
        <w:rPr>
          <w:lang w:val="en-US" w:eastAsia="zh-CN"/>
        </w:rPr>
        <w:t xml:space="preserve">the </w:t>
      </w:r>
      <w:r>
        <w:rPr>
          <w:rFonts w:hint="eastAsia"/>
          <w:lang w:val="en-US" w:eastAsia="zh-CN"/>
        </w:rPr>
        <w:t xml:space="preserve">capability to </w:t>
      </w:r>
      <w:r>
        <w:rPr>
          <w:lang w:val="en-US" w:eastAsia="zh-CN"/>
        </w:rPr>
        <w:t>support</w:t>
      </w:r>
      <w:r>
        <w:rPr>
          <w:rFonts w:hint="eastAsia"/>
          <w:lang w:val="en-US" w:eastAsia="zh-CN"/>
        </w:rPr>
        <w:t xml:space="preserve"> operator-specific configuration</w:t>
      </w:r>
      <w:r>
        <w:rPr>
          <w:lang w:val="en-US" w:eastAsia="zh-CN"/>
        </w:rPr>
        <w:t>s</w:t>
      </w:r>
      <w:r>
        <w:rPr>
          <w:rFonts w:hint="eastAsia"/>
          <w:lang w:val="en-US" w:eastAsia="zh-CN"/>
        </w:rPr>
        <w:t xml:space="preserve">. </w:t>
      </w:r>
    </w:p>
    <w:p w14:paraId="301E49C3">
      <w:pPr>
        <w:rPr>
          <w:lang w:eastAsia="zh-CN"/>
        </w:rPr>
      </w:pPr>
      <w:r>
        <w:rPr>
          <w:b/>
          <w:lang w:eastAsia="zh-CN"/>
        </w:rPr>
        <w:t>Req-MOCN-SameCellId-Cfg-CON-</w:t>
      </w:r>
      <w:r>
        <w:rPr>
          <w:b/>
          <w:lang w:val="en-US" w:eastAsia="zh-CN"/>
        </w:rPr>
        <w:t>5</w:t>
      </w:r>
      <w:r>
        <w:rPr>
          <w:rFonts w:hint="eastAsia"/>
          <w:b/>
          <w:lang w:val="en-US" w:eastAsia="zh-CN"/>
        </w:rPr>
        <w:t xml:space="preserve"> </w:t>
      </w:r>
      <w:r>
        <w:rPr>
          <w:rFonts w:hint="eastAsia"/>
          <w:lang w:val="en-US" w:eastAsia="zh-CN"/>
        </w:rPr>
        <w:t xml:space="preserve">The 3GPP management system of the MOP shall have </w:t>
      </w:r>
      <w:r>
        <w:rPr>
          <w:lang w:val="en-US" w:eastAsia="zh-CN"/>
        </w:rPr>
        <w:t xml:space="preserve">the </w:t>
      </w:r>
      <w:r>
        <w:rPr>
          <w:rFonts w:hint="eastAsia"/>
          <w:lang w:val="en-US" w:eastAsia="zh-CN"/>
        </w:rPr>
        <w:t xml:space="preserve">capability to </w:t>
      </w:r>
      <w:r>
        <w:rPr>
          <w:lang w:val="en-US" w:eastAsia="zh-CN"/>
        </w:rPr>
        <w:t>support</w:t>
      </w:r>
      <w:r>
        <w:rPr>
          <w:rFonts w:hint="eastAsia"/>
          <w:lang w:val="en-US" w:eastAsia="zh-CN"/>
        </w:rPr>
        <w:t xml:space="preserve"> operator-specific performance measurement jobs.</w:t>
      </w:r>
    </w:p>
    <w:p w14:paraId="301E49C4">
      <w:pPr>
        <w:pStyle w:val="4"/>
      </w:pPr>
      <w:bookmarkStart w:id="11" w:name="_Toc163142753"/>
      <w:r>
        <w:t>5.1.5</w:t>
      </w:r>
      <w:r>
        <w:tab/>
      </w:r>
      <w:r>
        <w:t>Requirements for management support for NG-RAN MOCN network sharing scenario with multiple Cell Identity broadcast</w:t>
      </w:r>
      <w:bookmarkEnd w:id="11"/>
    </w:p>
    <w:p w14:paraId="301E49C5">
      <w:pPr>
        <w:jc w:val="both"/>
        <w:rPr>
          <w:lang w:eastAsia="zh-CN"/>
        </w:rPr>
      </w:pPr>
      <w:r>
        <w:rPr>
          <w:b/>
          <w:lang w:eastAsia="zh-CN"/>
        </w:rPr>
        <w:t>Req-MOCN-MultiCellId-Cfg-CON-1</w:t>
      </w:r>
      <w:r>
        <w:rPr>
          <w:lang w:eastAsia="zh-CN"/>
        </w:rPr>
        <w:t xml:space="preserve"> The 3GPP management system of the MOP shall have the capability to configure NgC and NgU individually for each POP.</w:t>
      </w:r>
    </w:p>
    <w:p w14:paraId="301E49C6">
      <w:pPr>
        <w:jc w:val="both"/>
        <w:rPr>
          <w:lang w:eastAsia="zh-CN"/>
        </w:rPr>
      </w:pPr>
      <w:r>
        <w:rPr>
          <w:b/>
          <w:lang w:eastAsia="zh-CN"/>
        </w:rPr>
        <w:t>Req-MOCN-MultiCellId-Cfg-CON-2</w:t>
      </w:r>
      <w:r>
        <w:rPr>
          <w:lang w:eastAsia="zh-CN"/>
        </w:rPr>
        <w:t xml:space="preserve"> The 3GPP management system of the MOP shall have the capability to configure </w:t>
      </w:r>
      <w:r>
        <w:rPr>
          <w:rStyle w:val="84"/>
        </w:rPr>
        <w:t xml:space="preserve">PLMN-IdentityInfo </w:t>
      </w:r>
      <w:r>
        <w:rPr>
          <w:lang w:eastAsia="zh-CN"/>
        </w:rPr>
        <w:t>(including PLMNId, NR Cell Identity, TAC) individually for each POP.</w:t>
      </w:r>
    </w:p>
    <w:p w14:paraId="301E49C7">
      <w:pPr>
        <w:rPr>
          <w:lang w:eastAsia="zh-CN"/>
        </w:rPr>
      </w:pPr>
      <w:r>
        <w:rPr>
          <w:b/>
          <w:lang w:eastAsia="zh-CN"/>
        </w:rPr>
        <w:t>Req-MOCN-MultiCellId-Perf-CON-3</w:t>
      </w:r>
      <w:r>
        <w:rPr>
          <w:lang w:eastAsia="zh-CN"/>
        </w:rPr>
        <w:t xml:space="preserve"> The 3GPP management system shall have the capability to collect and report some measurements (e.g. active UEs measurements, packet delay measurements) in PLMN granularity for each POP.</w:t>
      </w:r>
    </w:p>
    <w:p w14:paraId="301E49C8">
      <w:pPr>
        <w:jc w:val="both"/>
        <w:rPr>
          <w:lang w:eastAsia="zh-CN"/>
        </w:rPr>
      </w:pPr>
      <w:r>
        <w:rPr>
          <w:b/>
          <w:lang w:eastAsia="zh-CN"/>
        </w:rPr>
        <w:t>Req-MOCN-MultiCellId-Cfg-CON-4</w:t>
      </w:r>
      <w:r>
        <w:rPr>
          <w:lang w:eastAsia="zh-CN"/>
        </w:rPr>
        <w:t xml:space="preserve"> The 3GPP management system of the MOP shall have the capability to configure the common F1 interface for all POPs.</w:t>
      </w:r>
    </w:p>
    <w:p w14:paraId="301E49C9">
      <w:pPr>
        <w:jc w:val="both"/>
        <w:rPr>
          <w:lang w:eastAsia="zh-CN"/>
        </w:rPr>
      </w:pPr>
      <w:r>
        <w:rPr>
          <w:b/>
          <w:lang w:eastAsia="zh-CN"/>
        </w:rPr>
        <w:t>Req-MOCN-MultiCellId-Cfg-CON-5</w:t>
      </w:r>
      <w:r>
        <w:rPr>
          <w:lang w:eastAsia="zh-CN"/>
        </w:rPr>
        <w:t xml:space="preserve"> The 3GPP management system of the MOP shall have the capability to configure the individual F1 interface for each POP.</w:t>
      </w:r>
    </w:p>
    <w:p w14:paraId="301E49CA">
      <w:pPr>
        <w:rPr>
          <w:lang w:eastAsia="zh-CN"/>
        </w:rPr>
      </w:pPr>
      <w:r>
        <w:rPr>
          <w:b/>
          <w:lang w:eastAsia="zh-CN"/>
        </w:rPr>
        <w:t>Req-MOCN-MultiCellId-Cfg-CON-6</w:t>
      </w:r>
      <w:r>
        <w:rPr>
          <w:lang w:eastAsia="zh-CN"/>
        </w:rPr>
        <w:t xml:space="preserve"> The 3GPP management system of the MOP shall have the capability to configure the individual NR cell relation individually for each POP.</w:t>
      </w:r>
    </w:p>
    <w:p w14:paraId="301E49CB">
      <w:pPr>
        <w:rPr>
          <w:lang w:val="en-US" w:eastAsia="zh-CN"/>
        </w:rPr>
      </w:pPr>
      <w:r>
        <w:rPr>
          <w:b/>
          <w:lang w:eastAsia="zh-CN"/>
        </w:rPr>
        <w:t>Req-MOCN-MultiCellId-Cfg-CON-</w:t>
      </w:r>
      <w:r>
        <w:rPr>
          <w:rFonts w:hint="eastAsia"/>
          <w:b/>
          <w:lang w:val="en-US" w:eastAsia="zh-CN"/>
        </w:rPr>
        <w:t>7</w:t>
      </w:r>
      <w:r>
        <w:rPr>
          <w:rFonts w:hint="eastAsia"/>
          <w:lang w:val="en-US" w:eastAsia="zh-CN"/>
        </w:rPr>
        <w:t xml:space="preserve"> The 3GPP management system of the MOP shall have </w:t>
      </w:r>
      <w:r>
        <w:rPr>
          <w:lang w:val="en-US" w:eastAsia="zh-CN"/>
        </w:rPr>
        <w:t xml:space="preserve">the </w:t>
      </w:r>
      <w:r>
        <w:rPr>
          <w:rFonts w:hint="eastAsia"/>
          <w:lang w:val="en-US" w:eastAsia="zh-CN"/>
        </w:rPr>
        <w:t xml:space="preserve">capability to </w:t>
      </w:r>
      <w:r>
        <w:rPr>
          <w:lang w:val="en-US" w:eastAsia="zh-CN"/>
        </w:rPr>
        <w:t>support</w:t>
      </w:r>
      <w:r>
        <w:rPr>
          <w:rFonts w:hint="eastAsia"/>
          <w:lang w:val="en-US" w:eastAsia="zh-CN"/>
        </w:rPr>
        <w:t xml:space="preserve"> operator-specific configuration</w:t>
      </w:r>
      <w:r>
        <w:rPr>
          <w:lang w:val="en-US" w:eastAsia="zh-CN"/>
        </w:rPr>
        <w:t>s</w:t>
      </w:r>
      <w:r>
        <w:rPr>
          <w:rFonts w:hint="eastAsia"/>
          <w:lang w:val="en-US" w:eastAsia="zh-CN"/>
        </w:rPr>
        <w:t xml:space="preserve">. </w:t>
      </w:r>
    </w:p>
    <w:p w14:paraId="301E49CC">
      <w:pPr>
        <w:rPr>
          <w:lang w:eastAsia="zh-CN"/>
        </w:rPr>
      </w:pPr>
      <w:r>
        <w:rPr>
          <w:b/>
          <w:lang w:eastAsia="zh-CN"/>
        </w:rPr>
        <w:t>Req-MOCN-MultiCellId-Cfg-CON-</w:t>
      </w:r>
      <w:r>
        <w:rPr>
          <w:b/>
          <w:lang w:val="en-US" w:eastAsia="zh-CN"/>
        </w:rPr>
        <w:t>8</w:t>
      </w:r>
      <w:r>
        <w:rPr>
          <w:rFonts w:hint="eastAsia"/>
          <w:b/>
          <w:lang w:val="en-US" w:eastAsia="zh-CN"/>
        </w:rPr>
        <w:t xml:space="preserve"> </w:t>
      </w:r>
      <w:r>
        <w:rPr>
          <w:rFonts w:hint="eastAsia"/>
          <w:lang w:val="en-US" w:eastAsia="zh-CN"/>
        </w:rPr>
        <w:t xml:space="preserve">The 3GPP management system of the MOP shall have </w:t>
      </w:r>
      <w:r>
        <w:rPr>
          <w:lang w:val="en-US" w:eastAsia="zh-CN"/>
        </w:rPr>
        <w:t xml:space="preserve">the </w:t>
      </w:r>
      <w:r>
        <w:rPr>
          <w:rFonts w:hint="eastAsia"/>
          <w:lang w:val="en-US" w:eastAsia="zh-CN"/>
        </w:rPr>
        <w:t xml:space="preserve">capability to </w:t>
      </w:r>
      <w:r>
        <w:rPr>
          <w:lang w:val="en-US" w:eastAsia="zh-CN"/>
        </w:rPr>
        <w:t>support</w:t>
      </w:r>
      <w:r>
        <w:rPr>
          <w:rFonts w:hint="eastAsia"/>
          <w:lang w:val="en-US" w:eastAsia="zh-CN"/>
        </w:rPr>
        <w:t xml:space="preserve"> operator-specific performance measurement jobs.</w:t>
      </w:r>
    </w:p>
    <w:p w14:paraId="301E49CD">
      <w:pPr>
        <w:pStyle w:val="4"/>
      </w:pPr>
      <w:bookmarkStart w:id="12" w:name="_Toc163142754"/>
      <w:r>
        <w:t>5.1.6</w:t>
      </w:r>
      <w:r>
        <w:tab/>
      </w:r>
      <w:r>
        <w:t>Requirements for the OAM&amp;P of shared NG-RAN</w:t>
      </w:r>
      <w:bookmarkEnd w:id="12"/>
    </w:p>
    <w:p w14:paraId="301E49CE">
      <w:pPr>
        <w:rPr>
          <w:lang w:eastAsia="zh-CN"/>
        </w:rPr>
      </w:pPr>
      <w:r>
        <w:rPr>
          <w:b/>
        </w:rPr>
        <w:t>REQ-NS</w:t>
      </w:r>
      <w:r>
        <w:rPr>
          <w:rFonts w:hint="eastAsia"/>
          <w:b/>
          <w:lang w:eastAsia="zh-CN"/>
        </w:rPr>
        <w:t>_</w:t>
      </w:r>
      <w:r>
        <w:rPr>
          <w:b/>
        </w:rPr>
        <w:t>NG-CON-1</w:t>
      </w:r>
      <w:r>
        <w:rPr>
          <w:b/>
        </w:rPr>
        <w:tab/>
      </w:r>
      <w:r>
        <w:rPr>
          <w:b/>
        </w:rPr>
        <w:tab/>
      </w:r>
      <w:r>
        <w:rPr>
          <w:bCs/>
        </w:rPr>
        <w:t>The 3GPP management system of the MOP shall support a capability to manage</w:t>
      </w:r>
      <w:r>
        <w:rPr>
          <w:lang w:eastAsia="zh-CN"/>
        </w:rPr>
        <w:t xml:space="preserve"> both the non-shared network elements and shared network elements in a NG-RAN network at the same time.</w:t>
      </w:r>
    </w:p>
    <w:p w14:paraId="301E49CF">
      <w:pPr>
        <w:rPr>
          <w:lang w:eastAsia="zh-CN"/>
        </w:rPr>
      </w:pPr>
      <w:r>
        <w:rPr>
          <w:b/>
        </w:rPr>
        <w:t>REQ-NS</w:t>
      </w:r>
      <w:r>
        <w:rPr>
          <w:rFonts w:hint="eastAsia"/>
          <w:b/>
          <w:lang w:eastAsia="zh-CN"/>
        </w:rPr>
        <w:t>_</w:t>
      </w:r>
      <w:r>
        <w:rPr>
          <w:b/>
        </w:rPr>
        <w:t>NG-CON-2</w:t>
      </w:r>
      <w:r>
        <w:rPr>
          <w:b/>
        </w:rPr>
        <w:tab/>
      </w:r>
      <w:r>
        <w:rPr>
          <w:b/>
        </w:rPr>
        <w:tab/>
      </w:r>
      <w:r>
        <w:rPr>
          <w:bCs/>
        </w:rPr>
        <w:t xml:space="preserve">The 3GPP management system of the MOP shall support a capability to </w:t>
      </w:r>
      <w:r>
        <w:rPr>
          <w:lang w:eastAsia="zh-CN"/>
        </w:rPr>
        <w:t>configure the NG-RAN network element to start the sharing of one currently non-shared NG-RAN network element or stop the sharing of one currently shared NG-RAN network element.</w:t>
      </w:r>
    </w:p>
    <w:p w14:paraId="301E49D0">
      <w:pPr>
        <w:rPr>
          <w:bCs/>
        </w:rPr>
      </w:pPr>
      <w:r>
        <w:rPr>
          <w:b/>
        </w:rPr>
        <w:t>REQ-NS</w:t>
      </w:r>
      <w:r>
        <w:rPr>
          <w:b/>
          <w:lang w:eastAsia="zh-CN"/>
        </w:rPr>
        <w:t>_</w:t>
      </w:r>
      <w:r>
        <w:rPr>
          <w:b/>
        </w:rPr>
        <w:t>NG-CON-3</w:t>
      </w:r>
      <w:r>
        <w:rPr>
          <w:b/>
        </w:rPr>
        <w:tab/>
      </w:r>
      <w:r>
        <w:rPr>
          <w:b/>
        </w:rPr>
        <w:tab/>
      </w:r>
      <w:r>
        <w:rPr>
          <w:bCs/>
        </w:rPr>
        <w:t>The 3GPP management system of the MOP shall support a capability to configure the POP-specific attributes of the shared NG-RAN individually based on the POPs</w:t>
      </w:r>
      <w:r>
        <w:rPr>
          <w:bCs/>
          <w:lang w:eastAsia="zh-CN"/>
        </w:rPr>
        <w:t xml:space="preserve">’ </w:t>
      </w:r>
      <w:r>
        <w:rPr>
          <w:bCs/>
        </w:rPr>
        <w:t>requirements.</w:t>
      </w:r>
    </w:p>
    <w:p w14:paraId="301E49D1">
      <w:r>
        <w:rPr>
          <w:b/>
          <w:bCs/>
        </w:rPr>
        <w:t>REQ-NS_NG-CON-4</w:t>
      </w:r>
      <w:r>
        <w:rPr>
          <w:bCs/>
        </w:rPr>
        <w:tab/>
      </w:r>
      <w:r>
        <w:rPr>
          <w:bCs/>
        </w:rPr>
        <w:tab/>
      </w:r>
      <w:r>
        <w:rPr>
          <w:bCs/>
        </w:rPr>
        <w:t xml:space="preserve">The 3GPP management system of the MOP shall have the capability to configure the </w:t>
      </w:r>
      <w:r>
        <w:t>radio resources partitioning policies for the POPs based on the agreement between POPs.</w:t>
      </w:r>
    </w:p>
    <w:p w14:paraId="301E49D2">
      <w:pPr>
        <w:rPr>
          <w:lang w:eastAsia="zh-CN"/>
        </w:rPr>
      </w:pPr>
      <w:r>
        <w:rPr>
          <w:b/>
          <w:lang w:eastAsia="zh-CN"/>
        </w:rPr>
        <w:t>Req-MOCN-MultiCellId-Cfg-CON-5</w:t>
      </w:r>
      <w:r>
        <w:rPr>
          <w:lang w:eastAsia="zh-CN"/>
        </w:rPr>
        <w:t xml:space="preserve"> The 3GPP management system of the MOP shall have the capability to configure the administrative state of the operator specific NR Cell DU.</w:t>
      </w:r>
    </w:p>
    <w:p w14:paraId="301E49D3">
      <w:pPr>
        <w:pStyle w:val="4"/>
        <w:rPr>
          <w:ins w:id="0" w:author="asimo" w:date="2025-02-07T00:21:00Z"/>
          <w:rFonts w:eastAsia="宋体"/>
          <w:lang w:val="en-US" w:eastAsia="zh-CN"/>
        </w:rPr>
      </w:pPr>
      <w:ins w:id="1" w:author="asimo" w:date="2025-02-07T00:20:00Z">
        <w:r>
          <w:rPr/>
          <w:t>5.1.</w:t>
        </w:r>
      </w:ins>
      <w:ins w:id="2" w:author="asimo" w:date="2025-02-07T00:21:00Z">
        <w:r>
          <w:rPr>
            <w:rFonts w:hint="eastAsia" w:eastAsia="宋体"/>
            <w:lang w:val="en-US" w:eastAsia="zh-CN"/>
          </w:rPr>
          <w:t>7</w:t>
        </w:r>
      </w:ins>
      <w:ins w:id="3" w:author="asimo" w:date="2025-02-07T00:20:00Z">
        <w:r>
          <w:rPr/>
          <w:tab/>
        </w:r>
      </w:ins>
      <w:ins w:id="4" w:author="asimo" w:date="2025-02-07T00:20:00Z">
        <w:r>
          <w:rPr/>
          <w:t xml:space="preserve">Requirements for the </w:t>
        </w:r>
      </w:ins>
      <w:ins w:id="5" w:author="asimo" w:date="2025-02-07T00:20:00Z">
        <w:r>
          <w:rPr>
            <w:rFonts w:hint="eastAsia" w:eastAsia="宋体"/>
            <w:lang w:val="en-US" w:eastAsia="zh-CN"/>
          </w:rPr>
          <w:t>management support</w:t>
        </w:r>
      </w:ins>
      <w:ins w:id="6" w:author="asimo" w:date="2025-02-07T00:20:00Z">
        <w:r>
          <w:rPr/>
          <w:t xml:space="preserve"> </w:t>
        </w:r>
      </w:ins>
      <w:ins w:id="7" w:author="asimo" w:date="2025-02-07T00:21:00Z">
        <w:r>
          <w:rPr>
            <w:rFonts w:hint="eastAsia" w:eastAsia="宋体"/>
            <w:lang w:val="en-US" w:eastAsia="zh-CN"/>
          </w:rPr>
          <w:t xml:space="preserve">Indirect Network Sharing </w:t>
        </w:r>
      </w:ins>
      <w:ins w:id="8" w:author="asimo" w:date="2025-02-07T00:25:00Z">
        <w:r>
          <w:rPr>
            <w:rFonts w:hint="eastAsia" w:eastAsia="宋体"/>
            <w:lang w:val="en-US" w:eastAsia="zh-CN"/>
          </w:rPr>
          <w:t>s</w:t>
        </w:r>
      </w:ins>
      <w:ins w:id="9" w:author="asimo" w:date="2025-02-07T00:21:00Z">
        <w:r>
          <w:rPr>
            <w:rFonts w:hint="eastAsia" w:eastAsia="宋体"/>
            <w:lang w:val="en-US" w:eastAsia="zh-CN"/>
          </w:rPr>
          <w:t>cenario</w:t>
        </w:r>
      </w:ins>
    </w:p>
    <w:p w14:paraId="301E49D4">
      <w:pPr>
        <w:rPr>
          <w:ins w:id="10" w:author="asimo" w:date="2025-02-07T00:22:00Z"/>
          <w:lang w:eastAsia="zh-CN"/>
        </w:rPr>
      </w:pPr>
      <w:ins w:id="11" w:author="asimo" w:date="2025-02-07T00:22:00Z">
        <w:r>
          <w:rPr>
            <w:rFonts w:hint="eastAsia"/>
            <w:b/>
            <w:kern w:val="2"/>
            <w:szCs w:val="18"/>
            <w:lang w:eastAsia="zh-CN" w:bidi="ar-KW"/>
          </w:rPr>
          <w:t>REQ-</w:t>
        </w:r>
      </w:ins>
      <w:ins w:id="12" w:author="asimo" w:date="2025-02-07T00:23:00Z">
        <w:r>
          <w:rPr>
            <w:rFonts w:hint="eastAsia"/>
            <w:b/>
            <w:kern w:val="2"/>
            <w:szCs w:val="18"/>
            <w:lang w:val="en-US" w:eastAsia="zh-CN" w:bidi="ar-KW"/>
          </w:rPr>
          <w:t>INS</w:t>
        </w:r>
      </w:ins>
      <w:ins w:id="13" w:author="asimo" w:date="2025-02-07T00:22:00Z">
        <w:r>
          <w:rPr>
            <w:rFonts w:hint="eastAsia"/>
            <w:b/>
            <w:kern w:val="2"/>
            <w:szCs w:val="18"/>
            <w:lang w:eastAsia="zh-CN" w:bidi="ar-KW"/>
          </w:rPr>
          <w:t>-Cfg</w:t>
        </w:r>
      </w:ins>
      <w:ins w:id="14" w:author="asimo" w:date="2025-02-07T00:23:00Z">
        <w:r>
          <w:rPr>
            <w:rFonts w:hint="eastAsia"/>
            <w:b/>
            <w:kern w:val="2"/>
            <w:szCs w:val="18"/>
            <w:lang w:val="en-US" w:eastAsia="zh-CN" w:bidi="ar-KW"/>
          </w:rPr>
          <w:t>-CON</w:t>
        </w:r>
      </w:ins>
      <w:ins w:id="15" w:author="asimo" w:date="2025-02-07T00:22:00Z">
        <w:r>
          <w:rPr>
            <w:rFonts w:hint="eastAsia"/>
            <w:b/>
            <w:kern w:val="2"/>
            <w:szCs w:val="18"/>
            <w:lang w:eastAsia="zh-CN" w:bidi="ar-KW"/>
          </w:rPr>
          <w:t>-1</w:t>
        </w:r>
      </w:ins>
      <w:ins w:id="16" w:author="asimo" w:date="2025-02-07T00:23:00Z">
        <w:r>
          <w:rPr>
            <w:rFonts w:hint="eastAsia"/>
            <w:b/>
            <w:kern w:val="2"/>
            <w:szCs w:val="18"/>
            <w:lang w:val="en-US" w:eastAsia="zh-CN" w:bidi="ar-KW"/>
          </w:rPr>
          <w:t xml:space="preserve"> </w:t>
        </w:r>
      </w:ins>
      <w:ins w:id="17" w:author="asimo" w:date="2025-02-07T00:22:00Z">
        <w:r>
          <w:rPr>
            <w:lang w:eastAsia="zh-CN"/>
          </w:rPr>
          <w:t xml:space="preserve">The 3GPP management system of the MOP </w:t>
        </w:r>
      </w:ins>
      <w:ins w:id="18" w:author="asimo" w:date="2025-02-07T00:22:00Z">
        <w:r>
          <w:rPr>
            <w:rFonts w:hint="eastAsia"/>
            <w:lang w:eastAsia="zh-CN"/>
          </w:rPr>
          <w:t>s</w:t>
        </w:r>
      </w:ins>
      <w:ins w:id="19" w:author="asimo" w:date="2025-02-07T00:25:00Z">
        <w:r>
          <w:rPr>
            <w:rFonts w:hint="eastAsia"/>
            <w:lang w:val="en-US" w:eastAsia="zh-CN"/>
          </w:rPr>
          <w:t>hall</w:t>
        </w:r>
      </w:ins>
      <w:ins w:id="20" w:author="asimo" w:date="2025-02-07T00:22:00Z">
        <w:r>
          <w:rPr>
            <w:lang w:eastAsia="zh-CN"/>
          </w:rPr>
          <w:t xml:space="preserve"> have the capability to configure PLMNId individually for each POP.</w:t>
        </w:r>
      </w:ins>
    </w:p>
    <w:p w14:paraId="301E49D5">
      <w:pPr>
        <w:rPr>
          <w:ins w:id="21" w:author="asimo" w:date="2025-02-07T00:24:00Z"/>
          <w:lang w:eastAsia="zh-CN"/>
        </w:rPr>
      </w:pPr>
      <w:ins w:id="22" w:author="asimo" w:date="2025-02-07T00:23:00Z">
        <w:r>
          <w:rPr>
            <w:rFonts w:hint="eastAsia"/>
            <w:b/>
            <w:kern w:val="2"/>
            <w:szCs w:val="18"/>
            <w:lang w:eastAsia="zh-CN" w:bidi="ar-KW"/>
          </w:rPr>
          <w:t>REQ-</w:t>
        </w:r>
      </w:ins>
      <w:ins w:id="23" w:author="asimo" w:date="2025-02-07T00:23:00Z">
        <w:r>
          <w:rPr>
            <w:rFonts w:hint="eastAsia"/>
            <w:b/>
            <w:kern w:val="2"/>
            <w:szCs w:val="18"/>
            <w:lang w:val="en-US" w:eastAsia="zh-CN" w:bidi="ar-KW"/>
          </w:rPr>
          <w:t>INS</w:t>
        </w:r>
      </w:ins>
      <w:ins w:id="24" w:author="asimo" w:date="2025-02-07T00:23:00Z">
        <w:r>
          <w:rPr>
            <w:rFonts w:hint="eastAsia"/>
            <w:b/>
            <w:kern w:val="2"/>
            <w:szCs w:val="18"/>
            <w:lang w:eastAsia="zh-CN" w:bidi="ar-KW"/>
          </w:rPr>
          <w:t>-Cfg</w:t>
        </w:r>
      </w:ins>
      <w:ins w:id="25" w:author="asimo" w:date="2025-02-07T00:23:00Z">
        <w:r>
          <w:rPr>
            <w:rFonts w:hint="eastAsia"/>
            <w:b/>
            <w:kern w:val="2"/>
            <w:szCs w:val="18"/>
            <w:lang w:val="en-US" w:eastAsia="zh-CN" w:bidi="ar-KW"/>
          </w:rPr>
          <w:t>-CON</w:t>
        </w:r>
      </w:ins>
      <w:ins w:id="26" w:author="asimo" w:date="2025-02-07T00:22:00Z">
        <w:r>
          <w:rPr>
            <w:rFonts w:hint="eastAsia"/>
            <w:b/>
            <w:kern w:val="2"/>
            <w:szCs w:val="18"/>
            <w:lang w:eastAsia="zh-CN" w:bidi="ar-KW"/>
          </w:rPr>
          <w:t>-2</w:t>
        </w:r>
      </w:ins>
      <w:ins w:id="27" w:author="asimo" w:date="2025-02-07T00:22:00Z">
        <w:r>
          <w:rPr>
            <w:kern w:val="2"/>
            <w:szCs w:val="18"/>
            <w:lang w:eastAsia="zh-CN" w:bidi="ar-KW"/>
          </w:rPr>
          <w:t xml:space="preserve"> </w:t>
        </w:r>
      </w:ins>
      <w:ins w:id="28" w:author="asimo" w:date="2025-02-07T00:22:00Z">
        <w:r>
          <w:rPr>
            <w:lang w:eastAsia="zh-CN"/>
          </w:rPr>
          <w:t xml:space="preserve">The 3GPP management system of the MOP </w:t>
        </w:r>
      </w:ins>
      <w:ins w:id="29" w:author="asimo" w:date="2025-02-07T00:22:00Z">
        <w:r>
          <w:rPr>
            <w:rFonts w:hint="eastAsia"/>
            <w:lang w:eastAsia="zh-CN"/>
          </w:rPr>
          <w:t>sh</w:t>
        </w:r>
      </w:ins>
      <w:ins w:id="30" w:author="asimo" w:date="2025-02-07T00:25:00Z">
        <w:r>
          <w:rPr>
            <w:rFonts w:hint="eastAsia"/>
            <w:lang w:val="en-US" w:eastAsia="zh-CN"/>
          </w:rPr>
          <w:t>all</w:t>
        </w:r>
      </w:ins>
      <w:ins w:id="31" w:author="asimo" w:date="2025-02-07T00:22:00Z">
        <w:r>
          <w:rPr>
            <w:lang w:eastAsia="zh-CN"/>
          </w:rPr>
          <w:t xml:space="preserve"> have the capability to configure PLMN-IdentityInfo (including PLMNId, NR Cell Identity, TAC) individually for each POP.</w:t>
        </w:r>
      </w:ins>
    </w:p>
    <w:p w14:paraId="301E49D6">
      <w:pPr>
        <w:rPr>
          <w:ins w:id="32" w:author="asimo" w:date="2025-02-07T00:24:00Z"/>
          <w:lang w:eastAsia="zh-CN"/>
        </w:rPr>
      </w:pPr>
      <w:ins w:id="33" w:author="asimo" w:date="2025-02-07T00:24:00Z">
        <w:r>
          <w:rPr>
            <w:rFonts w:hint="eastAsia"/>
            <w:b/>
            <w:kern w:val="2"/>
            <w:szCs w:val="18"/>
            <w:lang w:eastAsia="zh-CN" w:bidi="ar-KW"/>
          </w:rPr>
          <w:t>REQ-</w:t>
        </w:r>
      </w:ins>
      <w:ins w:id="34" w:author="asimo" w:date="2025-02-07T00:24:00Z">
        <w:r>
          <w:rPr>
            <w:rFonts w:hint="eastAsia"/>
            <w:b/>
            <w:kern w:val="2"/>
            <w:szCs w:val="18"/>
            <w:lang w:val="en-US" w:eastAsia="zh-CN" w:bidi="ar-KW"/>
          </w:rPr>
          <w:t>INS</w:t>
        </w:r>
      </w:ins>
      <w:ins w:id="35" w:author="asimo" w:date="2025-02-07T00:24:00Z">
        <w:r>
          <w:rPr>
            <w:rFonts w:hint="eastAsia"/>
            <w:b/>
            <w:kern w:val="2"/>
            <w:szCs w:val="18"/>
            <w:lang w:eastAsia="zh-CN" w:bidi="ar-KW"/>
          </w:rPr>
          <w:t>-Cfg</w:t>
        </w:r>
      </w:ins>
      <w:ins w:id="36" w:author="asimo" w:date="2025-02-07T00:24:00Z">
        <w:r>
          <w:rPr>
            <w:rFonts w:hint="eastAsia"/>
            <w:b/>
            <w:kern w:val="2"/>
            <w:szCs w:val="18"/>
            <w:lang w:val="en-US" w:eastAsia="zh-CN" w:bidi="ar-KW"/>
          </w:rPr>
          <w:t>-CON</w:t>
        </w:r>
      </w:ins>
      <w:ins w:id="37" w:author="asimo" w:date="2025-02-07T00:24:00Z">
        <w:r>
          <w:rPr>
            <w:rFonts w:hint="eastAsia"/>
            <w:b/>
            <w:kern w:val="2"/>
            <w:szCs w:val="18"/>
            <w:lang w:eastAsia="zh-CN" w:bidi="ar-KW"/>
          </w:rPr>
          <w:t>-</w:t>
        </w:r>
      </w:ins>
      <w:ins w:id="38" w:author="asimo" w:date="2025-02-07T00:24:00Z">
        <w:r>
          <w:rPr>
            <w:rFonts w:hint="eastAsia"/>
            <w:b/>
            <w:kern w:val="2"/>
            <w:szCs w:val="18"/>
            <w:lang w:val="en-US" w:eastAsia="zh-CN" w:bidi="ar-KW"/>
          </w:rPr>
          <w:t>3</w:t>
        </w:r>
      </w:ins>
      <w:ins w:id="39" w:author="asimo" w:date="2025-02-07T00:24:00Z">
        <w:r>
          <w:rPr>
            <w:kern w:val="2"/>
            <w:szCs w:val="18"/>
            <w:lang w:eastAsia="zh-CN" w:bidi="ar-KW"/>
          </w:rPr>
          <w:t xml:space="preserve"> </w:t>
        </w:r>
      </w:ins>
      <w:ins w:id="40" w:author="asimo" w:date="2025-02-07T00:24:00Z">
        <w:r>
          <w:rPr>
            <w:lang w:eastAsia="zh-CN"/>
          </w:rPr>
          <w:t xml:space="preserve">The 3GPP management system of the MOP </w:t>
        </w:r>
      </w:ins>
      <w:ins w:id="41" w:author="asimo" w:date="2025-02-07T00:24:00Z">
        <w:r>
          <w:rPr>
            <w:rFonts w:hint="eastAsia"/>
            <w:lang w:eastAsia="zh-CN"/>
          </w:rPr>
          <w:t>sh</w:t>
        </w:r>
      </w:ins>
      <w:ins w:id="42" w:author="asimo" w:date="2025-02-07T00:26:00Z">
        <w:r>
          <w:rPr>
            <w:rFonts w:hint="eastAsia"/>
            <w:lang w:val="en-US" w:eastAsia="zh-CN"/>
          </w:rPr>
          <w:t>all</w:t>
        </w:r>
      </w:ins>
      <w:ins w:id="43" w:author="asimo" w:date="2025-02-07T00:24:00Z">
        <w:r>
          <w:rPr>
            <w:lang w:eastAsia="zh-CN"/>
          </w:rPr>
          <w:t xml:space="preserve"> have the capability to configure </w:t>
        </w:r>
      </w:ins>
      <w:ins w:id="44" w:author="asimo" w:date="2025-02-07T00:24:00Z">
        <w:r>
          <w:rPr>
            <w:rFonts w:hint="eastAsia"/>
            <w:lang w:eastAsia="zh-CN"/>
          </w:rPr>
          <w:t xml:space="preserve">communication to </w:t>
        </w:r>
      </w:ins>
      <w:ins w:id="45" w:author="asimo" w:date="2025-02-07T00:24:00Z">
        <w:r>
          <w:rPr>
            <w:lang w:eastAsia="zh-CN"/>
          </w:rPr>
          <w:t>route through the core network for each POP.</w:t>
        </w:r>
      </w:ins>
    </w:p>
    <w:p w14:paraId="301E49D7">
      <w:pPr>
        <w:rPr>
          <w:ins w:id="46" w:author="asimo" w:date="2025-02-07T00:24:00Z"/>
          <w:lang w:eastAsia="zh-CN"/>
        </w:rPr>
      </w:pPr>
      <w:ins w:id="47" w:author="asimo" w:date="2025-02-07T00:24:00Z">
        <w:r>
          <w:rPr>
            <w:rFonts w:hint="eastAsia"/>
            <w:b/>
            <w:kern w:val="2"/>
            <w:szCs w:val="18"/>
            <w:lang w:eastAsia="zh-CN" w:bidi="ar-KW"/>
          </w:rPr>
          <w:t>REQ-</w:t>
        </w:r>
      </w:ins>
      <w:ins w:id="48" w:author="asimo" w:date="2025-02-07T00:24:00Z">
        <w:r>
          <w:rPr>
            <w:rFonts w:hint="eastAsia"/>
            <w:b/>
            <w:kern w:val="2"/>
            <w:szCs w:val="18"/>
            <w:lang w:val="en-US" w:eastAsia="zh-CN" w:bidi="ar-KW"/>
          </w:rPr>
          <w:t>INS</w:t>
        </w:r>
      </w:ins>
      <w:ins w:id="49" w:author="asimo" w:date="2025-02-07T00:24:00Z">
        <w:r>
          <w:rPr>
            <w:rFonts w:hint="eastAsia"/>
            <w:b/>
            <w:kern w:val="2"/>
            <w:szCs w:val="18"/>
            <w:lang w:eastAsia="zh-CN" w:bidi="ar-KW"/>
          </w:rPr>
          <w:t>-Cfg</w:t>
        </w:r>
      </w:ins>
      <w:ins w:id="50" w:author="asimo" w:date="2025-02-07T00:24:00Z">
        <w:r>
          <w:rPr>
            <w:rFonts w:hint="eastAsia"/>
            <w:b/>
            <w:kern w:val="2"/>
            <w:szCs w:val="18"/>
            <w:lang w:val="en-US" w:eastAsia="zh-CN" w:bidi="ar-KW"/>
          </w:rPr>
          <w:t>-CON</w:t>
        </w:r>
      </w:ins>
      <w:ins w:id="51" w:author="asimo" w:date="2025-02-07T00:24:00Z">
        <w:r>
          <w:rPr>
            <w:rFonts w:hint="eastAsia"/>
            <w:b/>
            <w:kern w:val="2"/>
            <w:szCs w:val="18"/>
            <w:lang w:eastAsia="zh-CN" w:bidi="ar-KW"/>
          </w:rPr>
          <w:t>-</w:t>
        </w:r>
      </w:ins>
      <w:ins w:id="52" w:author="asimo" w:date="2025-02-07T00:24:00Z">
        <w:r>
          <w:rPr>
            <w:rFonts w:hint="eastAsia"/>
            <w:b/>
            <w:kern w:val="2"/>
            <w:szCs w:val="18"/>
            <w:lang w:val="en-US" w:eastAsia="zh-CN" w:bidi="ar-KW"/>
          </w:rPr>
          <w:t>4</w:t>
        </w:r>
      </w:ins>
      <w:ins w:id="53" w:author="asimo" w:date="2025-02-07T00:24:00Z">
        <w:r>
          <w:rPr>
            <w:kern w:val="2"/>
            <w:szCs w:val="18"/>
            <w:lang w:eastAsia="zh-CN" w:bidi="ar-KW"/>
          </w:rPr>
          <w:t xml:space="preserve"> </w:t>
        </w:r>
      </w:ins>
      <w:ins w:id="54" w:author="asimo" w:date="2025-02-07T00:24:00Z">
        <w:r>
          <w:rPr>
            <w:lang w:eastAsia="zh-CN"/>
          </w:rPr>
          <w:t xml:space="preserve">The 3GPP management system of </w:t>
        </w:r>
      </w:ins>
      <w:ins w:id="55" w:author="asimo" w:date="2025-02-07T00:24:00Z">
        <w:r>
          <w:rPr>
            <w:rFonts w:hint="eastAsia"/>
            <w:lang w:eastAsia="zh-CN"/>
          </w:rPr>
          <w:t>each</w:t>
        </w:r>
      </w:ins>
      <w:ins w:id="56" w:author="asimo" w:date="2025-02-07T00:24:00Z">
        <w:r>
          <w:rPr>
            <w:lang w:eastAsia="zh-CN"/>
          </w:rPr>
          <w:t xml:space="preserve"> </w:t>
        </w:r>
      </w:ins>
      <w:ins w:id="57" w:author="asimo" w:date="2025-02-07T00:24:00Z">
        <w:r>
          <w:rPr>
            <w:rFonts w:hint="eastAsia"/>
            <w:lang w:eastAsia="zh-CN"/>
          </w:rPr>
          <w:t>P</w:t>
        </w:r>
      </w:ins>
      <w:ins w:id="58" w:author="asimo" w:date="2025-02-07T00:24:00Z">
        <w:r>
          <w:rPr>
            <w:lang w:eastAsia="zh-CN"/>
          </w:rPr>
          <w:t xml:space="preserve">OP </w:t>
        </w:r>
      </w:ins>
      <w:ins w:id="59" w:author="asimo" w:date="2025-02-07T00:24:00Z">
        <w:r>
          <w:rPr>
            <w:rFonts w:hint="eastAsia"/>
            <w:lang w:eastAsia="zh-CN"/>
          </w:rPr>
          <w:t>sh</w:t>
        </w:r>
      </w:ins>
      <w:ins w:id="60" w:author="asimo" w:date="2025-02-07T00:26:00Z">
        <w:r>
          <w:rPr>
            <w:rFonts w:hint="eastAsia"/>
            <w:lang w:val="en-US" w:eastAsia="zh-CN"/>
          </w:rPr>
          <w:t>all</w:t>
        </w:r>
      </w:ins>
      <w:ins w:id="61" w:author="asimo" w:date="2025-02-07T00:24:00Z">
        <w:r>
          <w:rPr>
            <w:lang w:eastAsia="zh-CN"/>
          </w:rPr>
          <w:t xml:space="preserve"> have the capability to configure </w:t>
        </w:r>
      </w:ins>
      <w:ins w:id="62" w:author="asimo" w:date="2025-02-07T00:24:00Z">
        <w:r>
          <w:rPr>
            <w:rFonts w:hint="eastAsia"/>
            <w:lang w:eastAsia="zh-CN"/>
          </w:rPr>
          <w:t xml:space="preserve">communication to </w:t>
        </w:r>
      </w:ins>
      <w:ins w:id="63" w:author="asimo" w:date="2025-02-07T00:24:00Z">
        <w:r>
          <w:rPr>
            <w:lang w:eastAsia="zh-CN"/>
          </w:rPr>
          <w:t xml:space="preserve">route through the core network for </w:t>
        </w:r>
      </w:ins>
      <w:ins w:id="64" w:author="asimo" w:date="2025-02-07T00:24:00Z">
        <w:r>
          <w:rPr>
            <w:rFonts w:hint="eastAsia"/>
            <w:lang w:eastAsia="zh-CN"/>
          </w:rPr>
          <w:t>the M</w:t>
        </w:r>
      </w:ins>
      <w:ins w:id="65" w:author="asimo" w:date="2025-02-07T00:24:00Z">
        <w:r>
          <w:rPr>
            <w:lang w:eastAsia="zh-CN"/>
          </w:rPr>
          <w:t>OP.</w:t>
        </w:r>
      </w:ins>
    </w:p>
    <w:p w14:paraId="301E49D8">
      <w:pPr>
        <w:rPr>
          <w:del w:id="66" w:author="asimo" w:date="2025-02-07T00:25:00Z"/>
          <w:lang w:eastAsia="zh-CN"/>
        </w:rPr>
      </w:pPr>
      <w:ins w:id="67" w:author="asimo" w:date="2025-02-07T00:24:00Z">
        <w:r>
          <w:rPr>
            <w:rFonts w:hint="eastAsia"/>
            <w:b/>
            <w:kern w:val="2"/>
            <w:szCs w:val="18"/>
            <w:lang w:eastAsia="zh-CN" w:bidi="ar-KW"/>
          </w:rPr>
          <w:t>REQ-</w:t>
        </w:r>
      </w:ins>
      <w:ins w:id="68" w:author="asimo" w:date="2025-02-07T00:24:00Z">
        <w:r>
          <w:rPr>
            <w:rFonts w:hint="eastAsia"/>
            <w:b/>
            <w:kern w:val="2"/>
            <w:szCs w:val="18"/>
            <w:lang w:val="en-US" w:eastAsia="zh-CN" w:bidi="ar-KW"/>
          </w:rPr>
          <w:t>INS</w:t>
        </w:r>
      </w:ins>
      <w:ins w:id="69" w:author="asimo" w:date="2025-02-07T00:24:00Z">
        <w:r>
          <w:rPr>
            <w:rFonts w:hint="eastAsia"/>
            <w:b/>
            <w:kern w:val="2"/>
            <w:szCs w:val="18"/>
            <w:lang w:eastAsia="zh-CN" w:bidi="ar-KW"/>
          </w:rPr>
          <w:t>-Cfg</w:t>
        </w:r>
      </w:ins>
      <w:ins w:id="70" w:author="asimo" w:date="2025-02-07T00:24:00Z">
        <w:r>
          <w:rPr>
            <w:rFonts w:hint="eastAsia"/>
            <w:b/>
            <w:kern w:val="2"/>
            <w:szCs w:val="18"/>
            <w:lang w:val="en-US" w:eastAsia="zh-CN" w:bidi="ar-KW"/>
          </w:rPr>
          <w:t>-CON</w:t>
        </w:r>
      </w:ins>
      <w:ins w:id="71" w:author="asimo" w:date="2025-02-07T00:24:00Z">
        <w:r>
          <w:rPr>
            <w:rFonts w:hint="eastAsia"/>
            <w:b/>
            <w:kern w:val="2"/>
            <w:szCs w:val="18"/>
            <w:lang w:eastAsia="zh-CN" w:bidi="ar-KW"/>
          </w:rPr>
          <w:t>-</w:t>
        </w:r>
      </w:ins>
      <w:ins w:id="72" w:author="asimo" w:date="2025-02-07T00:24:00Z">
        <w:r>
          <w:rPr>
            <w:rFonts w:hint="eastAsia"/>
            <w:b/>
            <w:kern w:val="2"/>
            <w:szCs w:val="18"/>
            <w:lang w:val="en-US" w:eastAsia="zh-CN" w:bidi="ar-KW"/>
          </w:rPr>
          <w:t>5</w:t>
        </w:r>
      </w:ins>
      <w:ins w:id="73" w:author="asimo" w:date="2025-02-07T00:24:00Z">
        <w:r>
          <w:rPr>
            <w:kern w:val="2"/>
            <w:szCs w:val="18"/>
            <w:lang w:eastAsia="zh-CN" w:bidi="ar-KW"/>
          </w:rPr>
          <w:t xml:space="preserve"> </w:t>
        </w:r>
      </w:ins>
      <w:ins w:id="74" w:author="asimo" w:date="2025-02-07T00:24:00Z">
        <w:r>
          <w:rPr>
            <w:lang w:eastAsia="zh-CN"/>
          </w:rPr>
          <w:t>The 3GPP management system of the MOP sh</w:t>
        </w:r>
      </w:ins>
      <w:ins w:id="75" w:author="asimo" w:date="2025-02-07T00:26:00Z">
        <w:r>
          <w:rPr>
            <w:rFonts w:hint="eastAsia"/>
            <w:lang w:val="en-US" w:eastAsia="zh-CN"/>
          </w:rPr>
          <w:t>all</w:t>
        </w:r>
      </w:ins>
      <w:ins w:id="76" w:author="asimo" w:date="2025-02-07T00:24:00Z">
        <w:r>
          <w:rPr>
            <w:lang w:eastAsia="zh-CN"/>
          </w:rPr>
          <w:t xml:space="preserve"> have the capability to configure PLMN</w:t>
        </w:r>
      </w:ins>
      <w:ins w:id="77" w:author="asimo" w:date="2025-02-07T00:24:00Z">
        <w:r>
          <w:rPr>
            <w:rFonts w:hint="eastAsia"/>
            <w:lang w:eastAsia="zh-CN"/>
          </w:rPr>
          <w:t>ID of serving AMF</w:t>
        </w:r>
      </w:ins>
      <w:ins w:id="78" w:author="asimo" w:date="2025-02-07T00:24:00Z">
        <w:r>
          <w:rPr>
            <w:lang w:eastAsia="zh-CN"/>
          </w:rPr>
          <w:t xml:space="preserve"> individually for each POP.</w:t>
        </w:r>
      </w:ins>
    </w:p>
    <w:p w14:paraId="301E49D9">
      <w:pPr>
        <w:pPrChange w:id="79" w:author="asimo" w:date="2025-02-07T00:25:00Z">
          <w:pPr>
            <w:pStyle w:val="75"/>
          </w:pPr>
        </w:pPrChange>
      </w:pPr>
      <w:r>
        <w:t>.</w:t>
      </w:r>
    </w:p>
    <w:tbl>
      <w:tblPr>
        <w:tblStyle w:val="42"/>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108" w:type="dxa"/>
          <w:bottom w:w="0" w:type="dxa"/>
          <w:right w:w="108" w:type="dxa"/>
        </w:tblCellMar>
      </w:tblPr>
      <w:tblGrid>
        <w:gridCol w:w="9521"/>
      </w:tblGrid>
      <w:tr w14:paraId="301E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01E49DA">
            <w:pPr>
              <w:jc w:val="center"/>
              <w:rPr>
                <w:rFonts w:ascii="Arial" w:hAnsi="Arial" w:cs="Arial"/>
                <w:b/>
                <w:bCs/>
                <w:sz w:val="28"/>
                <w:szCs w:val="28"/>
                <w:lang w:val="en-US" w:eastAsia="zh-CN"/>
              </w:rPr>
            </w:pPr>
            <w:r>
              <w:rPr>
                <w:rFonts w:ascii="Arial" w:hAnsi="Arial" w:cs="Arial"/>
                <w:b/>
                <w:bCs/>
                <w:sz w:val="28"/>
                <w:szCs w:val="28"/>
              </w:rPr>
              <w:t>End of  Changes</w:t>
            </w:r>
          </w:p>
        </w:tc>
      </w:tr>
    </w:tbl>
    <w:p w14:paraId="301E49DC"/>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E49D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E49E1">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E49E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E49E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simo">
    <w15:presenceInfo w15:providerId="None" w15:userId="asi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AxMzkzODcwMGMyMzFjNmFiMTBkOWRkMDBkZTBkZTUifQ=="/>
  </w:docVars>
  <w:rsids>
    <w:rsidRoot w:val="00022E4A"/>
    <w:rsid w:val="00022E4A"/>
    <w:rsid w:val="00067841"/>
    <w:rsid w:val="00070E09"/>
    <w:rsid w:val="000A6394"/>
    <w:rsid w:val="000B7FED"/>
    <w:rsid w:val="000C038A"/>
    <w:rsid w:val="000C6598"/>
    <w:rsid w:val="000D44B3"/>
    <w:rsid w:val="00145D43"/>
    <w:rsid w:val="00192C46"/>
    <w:rsid w:val="001A008B"/>
    <w:rsid w:val="001A08B3"/>
    <w:rsid w:val="001A7B60"/>
    <w:rsid w:val="001B52F0"/>
    <w:rsid w:val="001B7A65"/>
    <w:rsid w:val="001E152C"/>
    <w:rsid w:val="001E41F3"/>
    <w:rsid w:val="0026004D"/>
    <w:rsid w:val="002640DD"/>
    <w:rsid w:val="00275D12"/>
    <w:rsid w:val="00284FEB"/>
    <w:rsid w:val="002860C4"/>
    <w:rsid w:val="002B5741"/>
    <w:rsid w:val="002E472E"/>
    <w:rsid w:val="00305409"/>
    <w:rsid w:val="003216C3"/>
    <w:rsid w:val="003609EF"/>
    <w:rsid w:val="0036231A"/>
    <w:rsid w:val="00374DD4"/>
    <w:rsid w:val="003C2A20"/>
    <w:rsid w:val="003D09AA"/>
    <w:rsid w:val="003E1A36"/>
    <w:rsid w:val="00410371"/>
    <w:rsid w:val="004242F1"/>
    <w:rsid w:val="00430406"/>
    <w:rsid w:val="004B75B7"/>
    <w:rsid w:val="005141D9"/>
    <w:rsid w:val="0051580D"/>
    <w:rsid w:val="00547111"/>
    <w:rsid w:val="00577070"/>
    <w:rsid w:val="00592D74"/>
    <w:rsid w:val="005D47C3"/>
    <w:rsid w:val="005E2C44"/>
    <w:rsid w:val="00621188"/>
    <w:rsid w:val="006257ED"/>
    <w:rsid w:val="00653DE4"/>
    <w:rsid w:val="00665C47"/>
    <w:rsid w:val="00695808"/>
    <w:rsid w:val="006B46FB"/>
    <w:rsid w:val="006D54CD"/>
    <w:rsid w:val="006E21FB"/>
    <w:rsid w:val="006E3043"/>
    <w:rsid w:val="0073605A"/>
    <w:rsid w:val="00792342"/>
    <w:rsid w:val="007977A8"/>
    <w:rsid w:val="007B512A"/>
    <w:rsid w:val="007B67F9"/>
    <w:rsid w:val="007C2097"/>
    <w:rsid w:val="007D3655"/>
    <w:rsid w:val="007D6A07"/>
    <w:rsid w:val="007F7259"/>
    <w:rsid w:val="008040A8"/>
    <w:rsid w:val="008279FA"/>
    <w:rsid w:val="008626E7"/>
    <w:rsid w:val="00870EE7"/>
    <w:rsid w:val="008863B9"/>
    <w:rsid w:val="008A1D0B"/>
    <w:rsid w:val="008A45A6"/>
    <w:rsid w:val="008D3CCC"/>
    <w:rsid w:val="008F3789"/>
    <w:rsid w:val="008F686C"/>
    <w:rsid w:val="008F709C"/>
    <w:rsid w:val="00901DE4"/>
    <w:rsid w:val="009148DE"/>
    <w:rsid w:val="00941E30"/>
    <w:rsid w:val="009531B0"/>
    <w:rsid w:val="009666C5"/>
    <w:rsid w:val="009741B3"/>
    <w:rsid w:val="009777D9"/>
    <w:rsid w:val="00991B88"/>
    <w:rsid w:val="009A5753"/>
    <w:rsid w:val="009A579D"/>
    <w:rsid w:val="009E3297"/>
    <w:rsid w:val="009F734F"/>
    <w:rsid w:val="00A246B6"/>
    <w:rsid w:val="00A47E70"/>
    <w:rsid w:val="00A50CF0"/>
    <w:rsid w:val="00A55D19"/>
    <w:rsid w:val="00A7671C"/>
    <w:rsid w:val="00AA2CBC"/>
    <w:rsid w:val="00AC5820"/>
    <w:rsid w:val="00AD1CD8"/>
    <w:rsid w:val="00B16B3D"/>
    <w:rsid w:val="00B258BB"/>
    <w:rsid w:val="00B6702A"/>
    <w:rsid w:val="00B67B97"/>
    <w:rsid w:val="00B968C8"/>
    <w:rsid w:val="00BA3EC5"/>
    <w:rsid w:val="00BA51D9"/>
    <w:rsid w:val="00BA68D2"/>
    <w:rsid w:val="00BB2A85"/>
    <w:rsid w:val="00BB5DFC"/>
    <w:rsid w:val="00BD279D"/>
    <w:rsid w:val="00BD6BB8"/>
    <w:rsid w:val="00C66BA2"/>
    <w:rsid w:val="00C870F6"/>
    <w:rsid w:val="00C907B5"/>
    <w:rsid w:val="00C95985"/>
    <w:rsid w:val="00CC5026"/>
    <w:rsid w:val="00CC68D0"/>
    <w:rsid w:val="00D03F9A"/>
    <w:rsid w:val="00D06D51"/>
    <w:rsid w:val="00D132B3"/>
    <w:rsid w:val="00D24991"/>
    <w:rsid w:val="00D50255"/>
    <w:rsid w:val="00D66520"/>
    <w:rsid w:val="00D84AE9"/>
    <w:rsid w:val="00D84BA0"/>
    <w:rsid w:val="00D9124E"/>
    <w:rsid w:val="00DE34CF"/>
    <w:rsid w:val="00E13F3D"/>
    <w:rsid w:val="00E34898"/>
    <w:rsid w:val="00E41F7E"/>
    <w:rsid w:val="00EA360F"/>
    <w:rsid w:val="00EB09B7"/>
    <w:rsid w:val="00EE2C68"/>
    <w:rsid w:val="00EE7D7C"/>
    <w:rsid w:val="00F25D98"/>
    <w:rsid w:val="00F300FB"/>
    <w:rsid w:val="00F370D2"/>
    <w:rsid w:val="00F74B2E"/>
    <w:rsid w:val="00FB6386"/>
    <w:rsid w:val="00FC3B93"/>
    <w:rsid w:val="182A26BF"/>
    <w:rsid w:val="228A444B"/>
    <w:rsid w:val="2CD868D6"/>
    <w:rsid w:val="35A40759"/>
    <w:rsid w:val="53026F63"/>
    <w:rsid w:val="7D7A1B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修订1"/>
    <w:hidden/>
    <w:unhideWhenUsed/>
    <w:uiPriority w:val="99"/>
    <w:rPr>
      <w:rFonts w:ascii="Times New Roman" w:hAnsi="Times New Roman" w:eastAsia="Times New Roman" w:cs="Times New Roman"/>
      <w:lang w:val="en-GB" w:eastAsia="en-US" w:bidi="ar-SA"/>
    </w:rPr>
  </w:style>
  <w:style w:type="character" w:customStyle="1" w:styleId="84">
    <w:name w:val="fontstyle01"/>
    <w:uiPriority w:val="0"/>
    <w:rPr>
      <w:rFonts w:hint="default" w:ascii="Times New Roman" w:hAnsi="Times New Roman" w:cs="Times New Roman"/>
      <w:color w:val="000000"/>
      <w:sz w:val="20"/>
      <w:szCs w:val="20"/>
    </w:rPr>
  </w:style>
  <w:style w:type="paragraph" w:customStyle="1" w:styleId="85">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1545</Words>
  <Characters>8723</Characters>
  <Lines>80</Lines>
  <Paragraphs>22</Paragraphs>
  <TotalTime>2</TotalTime>
  <ScaleCrop>false</ScaleCrop>
  <LinksUpToDate>false</LinksUpToDate>
  <CharactersWithSpaces>10182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2024-11-21T16:01:00Z</dcterms:created>
  <dc:creator>Michael Sanders, John M Meredith</dc:creator>
  <cp:lastModifiedBy>asimo</cp:lastModifiedBy>
  <cp:lastPrinted>2411-12-31T15:59:00Z</cp:lastPrinted>
  <dcterms:modified xsi:type="dcterms:W3CDTF">2025-02-07T16:26:23Z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S5-246762</vt:lpwstr>
  </property>
  <property fmtid="{D5CDD505-2E9C-101B-9397-08002B2CF9AE}" pid="10" name="Spec#">
    <vt:lpwstr>32.130</vt:lpwstr>
  </property>
  <property fmtid="{D5CDD505-2E9C-101B-9397-08002B2CF9AE}" pid="11" name="Cr#">
    <vt:lpwstr>0036</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Rel-19 CR TS 32.130 Add requirements for Management of Indirect of Network Sharing</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y fmtid="{D5CDD505-2E9C-101B-9397-08002B2CF9AE}" pid="21" name="KSOProductBuildVer">
    <vt:lpwstr>2052-12.1.0.19770</vt:lpwstr>
  </property>
  <property fmtid="{D5CDD505-2E9C-101B-9397-08002B2CF9AE}" pid="22" name="ICV">
    <vt:lpwstr>3B607815BE164CCA8121632E610D2849_13</vt:lpwstr>
  </property>
  <property fmtid="{D5CDD505-2E9C-101B-9397-08002B2CF9AE}" pid="23" name="KSOTemplateDocerSaveRecord">
    <vt:lpwstr>eyJoZGlkIjoiMzAxMzkzODcwMGMyMzFjNmFiMTBkOWRkMDBkZTBkZTUifQ==</vt:lpwstr>
  </property>
</Properties>
</file>